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36DFF" w14:textId="77777777" w:rsidR="008B3A17" w:rsidRPr="00B80350" w:rsidRDefault="008B3A17" w:rsidP="008B3A17">
      <w:pPr>
        <w:suppressAutoHyphens/>
        <w:jc w:val="center"/>
        <w:rPr>
          <w:rFonts w:ascii="Book Antiqua" w:hAnsi="Book Antiqua" w:cs="Tahoma"/>
          <w:b/>
          <w:bCs/>
        </w:rPr>
      </w:pPr>
      <w:r w:rsidRPr="00B80350">
        <w:rPr>
          <w:rFonts w:ascii="Book Antiqua" w:hAnsi="Book Antiqua" w:cs="Tahoma"/>
          <w:b/>
          <w:bCs/>
        </w:rPr>
        <w:t>Előterjesztés munkaanyaga</w:t>
      </w:r>
    </w:p>
    <w:p w14:paraId="49FFCA85" w14:textId="1DDC096B" w:rsidR="001B3C5D" w:rsidRPr="00B8035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</w:rPr>
      </w:pPr>
      <w:proofErr w:type="gramStart"/>
      <w:r w:rsidRPr="00B80350">
        <w:rPr>
          <w:rFonts w:ascii="Book Antiqua" w:hAnsi="Book Antiqua"/>
          <w:b/>
          <w:bCs/>
        </w:rPr>
        <w:t>a</w:t>
      </w:r>
      <w:proofErr w:type="gramEnd"/>
      <w:r w:rsidRPr="00B80350">
        <w:rPr>
          <w:rFonts w:ascii="Book Antiqua" w:hAnsi="Book Antiqua"/>
          <w:b/>
          <w:bCs/>
        </w:rPr>
        <w:t xml:space="preserve"> Képviselő-testület 202</w:t>
      </w:r>
      <w:r w:rsidR="00A76A9F" w:rsidRPr="00B80350">
        <w:rPr>
          <w:rFonts w:ascii="Book Antiqua" w:hAnsi="Book Antiqua"/>
          <w:b/>
          <w:bCs/>
        </w:rPr>
        <w:t>4</w:t>
      </w:r>
      <w:r w:rsidRPr="00B80350">
        <w:rPr>
          <w:rFonts w:ascii="Book Antiqua" w:hAnsi="Book Antiqua"/>
          <w:b/>
          <w:bCs/>
        </w:rPr>
        <w:t>. december 1</w:t>
      </w:r>
      <w:r w:rsidR="00A76A9F" w:rsidRPr="00B80350">
        <w:rPr>
          <w:rFonts w:ascii="Book Antiqua" w:hAnsi="Book Antiqua"/>
          <w:b/>
          <w:bCs/>
        </w:rPr>
        <w:t>1</w:t>
      </w:r>
      <w:r w:rsidRPr="00B80350">
        <w:rPr>
          <w:rFonts w:ascii="Book Antiqua" w:hAnsi="Book Antiqua"/>
          <w:b/>
          <w:bCs/>
        </w:rPr>
        <w:t>-i  rendes nyílt ülésének</w:t>
      </w:r>
    </w:p>
    <w:p w14:paraId="750925F5" w14:textId="0C2FA229" w:rsidR="001B3C5D" w:rsidRPr="00B80350" w:rsidRDefault="00CA4A7A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5</w:t>
      </w:r>
      <w:r w:rsidR="001B3C5D" w:rsidRPr="00B80350">
        <w:rPr>
          <w:rFonts w:ascii="Book Antiqua" w:hAnsi="Book Antiqua"/>
          <w:b/>
          <w:bCs/>
        </w:rPr>
        <w:t>. napirendi pontjához</w:t>
      </w:r>
    </w:p>
    <w:p w14:paraId="7B021971" w14:textId="77777777" w:rsidR="001B3C5D" w:rsidRPr="00B8035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center"/>
        <w:rPr>
          <w:rFonts w:ascii="Book Antiqua" w:hAnsi="Book Antiqua"/>
          <w:b/>
          <w:bCs/>
        </w:rPr>
      </w:pPr>
      <w:r w:rsidRPr="00B80350">
        <w:rPr>
          <w:rFonts w:ascii="Book Antiqua" w:hAnsi="Book Antiqua"/>
          <w:b/>
          <w:bCs/>
        </w:rPr>
        <w:t>Beszámoló a jegyzői adóhatósági tevékenységről</w:t>
      </w:r>
    </w:p>
    <w:p w14:paraId="1A97048E" w14:textId="77777777" w:rsidR="001B3C5D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</w:rPr>
      </w:pPr>
    </w:p>
    <w:p w14:paraId="218F6A46" w14:textId="77777777" w:rsidR="00B80350" w:rsidRDefault="00B80350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</w:rPr>
      </w:pPr>
    </w:p>
    <w:p w14:paraId="2E9682D8" w14:textId="77777777" w:rsidR="001B3C5D" w:rsidRPr="00B8035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</w:rPr>
      </w:pPr>
      <w:r w:rsidRPr="00B80350">
        <w:rPr>
          <w:rFonts w:ascii="Book Antiqua" w:hAnsi="Book Antiqua"/>
          <w:b/>
          <w:bCs/>
          <w:i/>
          <w:iCs/>
        </w:rPr>
        <w:t xml:space="preserve"> Tisztelt Képviselő-testület!</w:t>
      </w:r>
    </w:p>
    <w:p w14:paraId="5F266857" w14:textId="77777777" w:rsidR="001B3C5D" w:rsidRPr="00B8035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/>
          <w:bCs/>
          <w:i/>
          <w:iCs/>
        </w:rPr>
      </w:pPr>
    </w:p>
    <w:p w14:paraId="5F7DC392" w14:textId="04F2CDD6" w:rsidR="001B3C5D" w:rsidRPr="00B80350" w:rsidRDefault="001B3C5D" w:rsidP="001B3C5D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jc w:val="both"/>
        <w:rPr>
          <w:rFonts w:ascii="Book Antiqua" w:hAnsi="Book Antiqua"/>
          <w:bCs/>
          <w:iCs/>
        </w:rPr>
      </w:pPr>
      <w:r w:rsidRPr="00B80350">
        <w:rPr>
          <w:rFonts w:ascii="Book Antiqua" w:hAnsi="Book Antiqua"/>
          <w:bCs/>
          <w:iCs/>
        </w:rPr>
        <w:t>A 202</w:t>
      </w:r>
      <w:r w:rsidR="00A76A9F" w:rsidRPr="00B80350">
        <w:rPr>
          <w:rFonts w:ascii="Book Antiqua" w:hAnsi="Book Antiqua"/>
          <w:bCs/>
          <w:iCs/>
        </w:rPr>
        <w:t>4</w:t>
      </w:r>
      <w:r w:rsidRPr="00B80350">
        <w:rPr>
          <w:rFonts w:ascii="Book Antiqua" w:hAnsi="Book Antiqua"/>
          <w:bCs/>
          <w:iCs/>
        </w:rPr>
        <w:t>. évi költségvetésen belül a következő adóbevételek realizálódtak 202</w:t>
      </w:r>
      <w:r w:rsidR="00A76A9F" w:rsidRPr="00B80350">
        <w:rPr>
          <w:rFonts w:ascii="Book Antiqua" w:hAnsi="Book Antiqua"/>
          <w:bCs/>
          <w:iCs/>
        </w:rPr>
        <w:t>4</w:t>
      </w:r>
      <w:r w:rsidRPr="00B80350">
        <w:rPr>
          <w:rFonts w:ascii="Book Antiqua" w:hAnsi="Book Antiqua"/>
          <w:bCs/>
          <w:iCs/>
        </w:rPr>
        <w:t xml:space="preserve">. </w:t>
      </w:r>
      <w:r w:rsidR="000D39D4" w:rsidRPr="00B80350">
        <w:rPr>
          <w:rFonts w:ascii="Book Antiqua" w:hAnsi="Book Antiqua"/>
          <w:bCs/>
          <w:iCs/>
        </w:rPr>
        <w:t>november</w:t>
      </w:r>
      <w:r w:rsidRPr="00B80350">
        <w:rPr>
          <w:rFonts w:ascii="Book Antiqua" w:hAnsi="Book Antiqua"/>
          <w:bCs/>
          <w:iCs/>
        </w:rPr>
        <w:t xml:space="preserve"> </w:t>
      </w:r>
      <w:r w:rsidR="00F6180C" w:rsidRPr="00B80350">
        <w:rPr>
          <w:rFonts w:ascii="Book Antiqua" w:hAnsi="Book Antiqua"/>
          <w:bCs/>
          <w:iCs/>
        </w:rPr>
        <w:t>2</w:t>
      </w:r>
      <w:r w:rsidR="00F4081F" w:rsidRPr="00B80350">
        <w:rPr>
          <w:rFonts w:ascii="Book Antiqua" w:hAnsi="Book Antiqua"/>
          <w:bCs/>
          <w:iCs/>
        </w:rPr>
        <w:t>6</w:t>
      </w:r>
      <w:r w:rsidR="00F6180C" w:rsidRPr="00B80350">
        <w:rPr>
          <w:rFonts w:ascii="Book Antiqua" w:hAnsi="Book Antiqua"/>
          <w:bCs/>
          <w:iCs/>
        </w:rPr>
        <w:t>.-i könyvelési állapotig</w:t>
      </w:r>
      <w:r w:rsidRPr="00B80350">
        <w:rPr>
          <w:rFonts w:ascii="Book Antiqua" w:hAnsi="Book Antiqua"/>
          <w:bCs/>
          <w:iCs/>
        </w:rPr>
        <w:t>:</w:t>
      </w:r>
    </w:p>
    <w:p w14:paraId="76C49C71" w14:textId="77777777" w:rsidR="009758A1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iCs/>
          <w:lang w:eastAsia="hu-HU"/>
        </w:rPr>
      </w:pPr>
    </w:p>
    <w:p w14:paraId="6FB2842C" w14:textId="77777777" w:rsidR="00DD5EB5" w:rsidRPr="00B80350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bCs/>
          <w:u w:val="single"/>
          <w:lang w:eastAsia="hu-HU"/>
        </w:rPr>
        <w:t>Gépjárműadó:</w:t>
      </w:r>
    </w:p>
    <w:p w14:paraId="2E858632" w14:textId="77777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p w14:paraId="0700D72F" w14:textId="77777777" w:rsidR="00DD5EB5" w:rsidRPr="00B80350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hAnsi="Book Antiqua"/>
        </w:rPr>
      </w:pPr>
      <w:r w:rsidRPr="00B80350">
        <w:rPr>
          <w:rFonts w:ascii="Book Antiqua" w:hAnsi="Book Antiqua"/>
        </w:rPr>
        <w:t>Az egyes adótörvények módosításáról szóló 2020. évi CXVIII. törvény 101. §</w:t>
      </w:r>
      <w:proofErr w:type="spellStart"/>
      <w:r w:rsidRPr="00B80350">
        <w:rPr>
          <w:rFonts w:ascii="Book Antiqua" w:hAnsi="Book Antiqua"/>
        </w:rPr>
        <w:t>-</w:t>
      </w:r>
      <w:proofErr w:type="gramStart"/>
      <w:r w:rsidRPr="00B80350">
        <w:rPr>
          <w:rFonts w:ascii="Book Antiqua" w:hAnsi="Book Antiqua"/>
        </w:rPr>
        <w:t>a</w:t>
      </w:r>
      <w:proofErr w:type="spellEnd"/>
      <w:proofErr w:type="gramEnd"/>
      <w:r w:rsidRPr="00B80350">
        <w:rPr>
          <w:rFonts w:ascii="Book Antiqua" w:hAnsi="Book Antiqua"/>
        </w:rPr>
        <w:t xml:space="preserve"> alapján 2021. január 1-jétől az állami adóhatóság (NAV) veszi át a gépjárműadóval kapcsolatos feladatokat az önkormányzati adóhatóságoktól. Az adóelőírásokat tartalmazó határozatokat </w:t>
      </w:r>
      <w:r w:rsidRPr="00B80350">
        <w:rPr>
          <w:rStyle w:val="Kiemels2"/>
          <w:rFonts w:ascii="Book Antiqua" w:hAnsi="Book Antiqua"/>
          <w:b w:val="0"/>
        </w:rPr>
        <w:t>2021</w:t>
      </w:r>
      <w:r w:rsidRPr="00B80350">
        <w:rPr>
          <w:rStyle w:val="Kiemels2"/>
          <w:rFonts w:ascii="Book Antiqua" w:hAnsi="Book Antiqua"/>
        </w:rPr>
        <w:t xml:space="preserve">. </w:t>
      </w:r>
      <w:r w:rsidRPr="00B80350">
        <w:rPr>
          <w:rStyle w:val="Kiemels2"/>
          <w:rFonts w:ascii="Book Antiqua" w:hAnsi="Book Antiqua"/>
          <w:b w:val="0"/>
        </w:rPr>
        <w:t>évtől</w:t>
      </w:r>
      <w:r w:rsidRPr="00B80350">
        <w:rPr>
          <w:rFonts w:ascii="Book Antiqua" w:hAnsi="Book Antiqua"/>
        </w:rPr>
        <w:t xml:space="preserve"> az állami adóhatóság postázza az érintetteknek, fizetési kötelezettségüket az állami adóhatóság számlájára kell teljesíteni. A 2020.12.31-ig lévő kintlévőségekre történt befizetéseket 100%-ban a Magyar Államkincstárnak utaljuk tovább.</w:t>
      </w:r>
    </w:p>
    <w:p w14:paraId="464BD235" w14:textId="77777777" w:rsidR="00BF5B29" w:rsidRPr="00B80350" w:rsidRDefault="00BF5B29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65CC1491" w14:textId="77777777" w:rsidR="00DD5EB5" w:rsidRPr="00B80350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bCs/>
          <w:u w:val="single"/>
          <w:lang w:eastAsia="hu-HU"/>
        </w:rPr>
        <w:t>Helyi iparűzési adó:</w:t>
      </w:r>
    </w:p>
    <w:p w14:paraId="613DEC4B" w14:textId="77777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4494"/>
      </w:tblGrid>
      <w:tr w:rsidR="00DD5EB5" w:rsidRPr="00B80350" w14:paraId="25CB5683" w14:textId="77777777" w:rsidTr="003372C3">
        <w:tc>
          <w:tcPr>
            <w:tcW w:w="4761" w:type="dxa"/>
          </w:tcPr>
          <w:p w14:paraId="1F9EEF7C" w14:textId="56C9E161" w:rsidR="00DD5EB5" w:rsidRPr="00B80350" w:rsidRDefault="00DD5EB5" w:rsidP="00FB37A6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</w:t>
            </w:r>
            <w:r w:rsidR="00A76A9F" w:rsidRPr="00B80350">
              <w:rPr>
                <w:rFonts w:ascii="Book Antiqua" w:eastAsia="Times New Roman" w:hAnsi="Book Antiqua" w:cs="Times New Roman"/>
                <w:lang w:eastAsia="hu-HU"/>
              </w:rPr>
              <w:t>4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</w:t>
            </w:r>
            <w:r w:rsidR="00B0574B" w:rsidRPr="00B80350">
              <w:rPr>
                <w:rFonts w:ascii="Book Antiqua" w:eastAsia="Times New Roman" w:hAnsi="Book Antiqua" w:cs="Times New Roman"/>
                <w:lang w:eastAsia="hu-HU"/>
              </w:rPr>
              <w:t>ovember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 xml:space="preserve"> 2</w:t>
            </w:r>
            <w:r w:rsidR="00FB37A6" w:rsidRPr="00B80350">
              <w:rPr>
                <w:rFonts w:ascii="Book Antiqua" w:eastAsia="Times New Roman" w:hAnsi="Book Antiqua" w:cs="Times New Roman"/>
                <w:lang w:eastAsia="hu-HU"/>
              </w:rPr>
              <w:t>6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47BB5C85" w14:textId="5E740A7D" w:rsidR="00FB37A6" w:rsidRPr="00B80350" w:rsidRDefault="00FB37A6" w:rsidP="00FB37A6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432.773.3</w:t>
            </w:r>
            <w:r w:rsidR="000A203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00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.- Ft</w:t>
            </w:r>
          </w:p>
          <w:p w14:paraId="78B312E2" w14:textId="77777777" w:rsidR="003F6C0B" w:rsidRDefault="00DD5EB5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(202</w:t>
            </w:r>
            <w:r w:rsidR="00A76A9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4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. évi </w:t>
            </w:r>
            <w:r w:rsidR="003F6C0B">
              <w:rPr>
                <w:rFonts w:ascii="Book Antiqua" w:eastAsia="Times New Roman" w:hAnsi="Book Antiqua" w:cs="Times New Roman"/>
                <w:b/>
                <w:lang w:eastAsia="hu-HU"/>
              </w:rPr>
              <w:t>eredeti</w:t>
            </w:r>
            <w:r w:rsidR="00F6180C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</w:t>
            </w:r>
            <w:proofErr w:type="spellStart"/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előir</w:t>
            </w:r>
            <w:proofErr w:type="spellEnd"/>
            <w:proofErr w:type="gramStart"/>
            <w:r w:rsidR="003F6C0B">
              <w:rPr>
                <w:rFonts w:ascii="Book Antiqua" w:eastAsia="Times New Roman" w:hAnsi="Book Antiqua" w:cs="Times New Roman"/>
                <w:b/>
                <w:lang w:eastAsia="hu-HU"/>
              </w:rPr>
              <w:t>.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:</w:t>
            </w:r>
            <w:proofErr w:type="gramEnd"/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</w:t>
            </w:r>
            <w:r w:rsidR="00620CDD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1</w:t>
            </w:r>
            <w:r w:rsidR="00A76A9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50</w:t>
            </w:r>
            <w:r w:rsidR="00620CDD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.000.000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Ft</w:t>
            </w:r>
            <w:r w:rsidR="003F6C0B">
              <w:rPr>
                <w:rFonts w:ascii="Book Antiqua" w:eastAsia="Times New Roman" w:hAnsi="Book Antiqua" w:cs="Times New Roman"/>
                <w:b/>
                <w:lang w:eastAsia="hu-HU"/>
              </w:rPr>
              <w:t>,</w:t>
            </w:r>
          </w:p>
          <w:p w14:paraId="19084BB6" w14:textId="7ECB3400" w:rsidR="00DD5EB5" w:rsidRPr="00B80350" w:rsidRDefault="003F6C0B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2024. évi mód. </w:t>
            </w:r>
            <w:proofErr w:type="spellStart"/>
            <w:r>
              <w:rPr>
                <w:rFonts w:ascii="Book Antiqua" w:eastAsia="Times New Roman" w:hAnsi="Book Antiqua" w:cs="Times New Roman"/>
                <w:b/>
                <w:lang w:eastAsia="hu-HU"/>
              </w:rPr>
              <w:t>előir</w:t>
            </w:r>
            <w:proofErr w:type="spellEnd"/>
            <w:proofErr w:type="gramStart"/>
            <w:r>
              <w:rPr>
                <w:rFonts w:ascii="Book Antiqua" w:eastAsia="Times New Roman" w:hAnsi="Book Antiqua" w:cs="Times New Roman"/>
                <w:b/>
                <w:lang w:eastAsia="hu-HU"/>
              </w:rPr>
              <w:t>.:</w:t>
            </w:r>
            <w:proofErr w:type="gramEnd"/>
            <w:r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390.000.000 Ft</w:t>
            </w:r>
            <w:r w:rsidR="00DD5EB5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) </w:t>
            </w:r>
          </w:p>
          <w:p w14:paraId="6E4D47E0" w14:textId="38F77082" w:rsidR="00DD5EB5" w:rsidRPr="00B80350" w:rsidRDefault="00DD5EB5" w:rsidP="00A76A9F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Teljesítés: </w:t>
            </w:r>
            <w:r w:rsidR="000A203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288,5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%</w:t>
            </w:r>
            <w:r w:rsidR="003F6C0B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/ 11,5%</w:t>
            </w:r>
          </w:p>
        </w:tc>
      </w:tr>
    </w:tbl>
    <w:p w14:paraId="04C29611" w14:textId="08E854AD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720"/>
        <w:jc w:val="both"/>
        <w:rPr>
          <w:rFonts w:ascii="Book Antiqua" w:eastAsia="Times New Roman" w:hAnsi="Book Antiqua" w:cs="Times New Roman"/>
          <w:b/>
          <w:bCs/>
          <w:lang w:eastAsia="hu-HU"/>
        </w:rPr>
      </w:pPr>
    </w:p>
    <w:p w14:paraId="4218E338" w14:textId="77777777" w:rsidR="00FB37A6" w:rsidRPr="00B80350" w:rsidRDefault="00FB37A6" w:rsidP="007B62FA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Adóhatóságunk 2024. évben</w:t>
      </w:r>
      <w:r w:rsidRPr="00B80350">
        <w:rPr>
          <w:rFonts w:ascii="Book Antiqua" w:eastAsia="Times New Roman" w:hAnsi="Book Antiqua" w:cs="Times New Roman"/>
          <w:b/>
          <w:bCs/>
          <w:lang w:eastAsia="hu-HU"/>
        </w:rPr>
        <w:t xml:space="preserve"> </w:t>
      </w:r>
      <w:r w:rsidRPr="00B80350">
        <w:rPr>
          <w:rFonts w:ascii="Book Antiqua" w:eastAsia="Times New Roman" w:hAnsi="Book Antiqua" w:cs="Times New Roman"/>
          <w:bCs/>
          <w:lang w:eastAsia="hu-HU"/>
        </w:rPr>
        <w:t>adóhatóságunk 885 db bevallást, bejelentkezést, változás bejelentést, meghatalmazást dolgozott fel. Az adószámla egyenleg kiküldése évente kétszer és a bevallás feldolgozása utáni adószámla kiküldése is elektronikusan történik.</w:t>
      </w:r>
    </w:p>
    <w:p w14:paraId="4FD1A7EB" w14:textId="1AAA980A" w:rsidR="00FB37A6" w:rsidRPr="00B80350" w:rsidRDefault="00FB37A6" w:rsidP="007B62FA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Kintlévőségek behajtására fizetési felszólítást </w:t>
      </w:r>
      <w:r w:rsidR="007B62FA">
        <w:rPr>
          <w:rFonts w:ascii="Book Antiqua" w:eastAsia="Times New Roman" w:hAnsi="Book Antiqua" w:cs="Times New Roman"/>
          <w:lang w:eastAsia="hu-HU"/>
        </w:rPr>
        <w:t>(46 db</w:t>
      </w:r>
      <w:proofErr w:type="gramStart"/>
      <w:r w:rsidRPr="00B80350">
        <w:rPr>
          <w:rFonts w:ascii="Book Antiqua" w:eastAsia="Times New Roman" w:hAnsi="Book Antiqua" w:cs="Times New Roman"/>
          <w:lang w:eastAsia="hu-HU"/>
        </w:rPr>
        <w:t>)küldtünk</w:t>
      </w:r>
      <w:proofErr w:type="gramEnd"/>
      <w:r w:rsidRPr="00B80350">
        <w:rPr>
          <w:rFonts w:ascii="Book Antiqua" w:eastAsia="Times New Roman" w:hAnsi="Book Antiqua" w:cs="Times New Roman"/>
          <w:lang w:eastAsia="hu-HU"/>
        </w:rPr>
        <w:t xml:space="preserve"> ki, és azoknál az adózóknál ahol ez sem vezetett eredményre ott megindítottuk a végrehajtási eljárást </w:t>
      </w:r>
    </w:p>
    <w:p w14:paraId="3923D4A3" w14:textId="77777777" w:rsidR="00FB37A6" w:rsidRPr="00B80350" w:rsidRDefault="00FB37A6" w:rsidP="007B62FA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(21 db inkasszó,), melyek jelentős része eredményesen zárult.</w:t>
      </w:r>
    </w:p>
    <w:p w14:paraId="2EA14B21" w14:textId="77777777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7CCC09A0" w14:textId="5D512A2B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Az elmulasztott adóbevallások teljesítésére </w:t>
      </w:r>
      <w:r w:rsidR="007B62FA">
        <w:rPr>
          <w:rFonts w:ascii="Book Antiqua" w:eastAsia="Times New Roman" w:hAnsi="Book Antiqua" w:cs="Times New Roman"/>
          <w:lang w:eastAsia="hu-HU"/>
        </w:rPr>
        <w:t>felhívást (</w:t>
      </w:r>
      <w:r w:rsidRPr="00B80350">
        <w:rPr>
          <w:rFonts w:ascii="Book Antiqua" w:eastAsia="Times New Roman" w:hAnsi="Book Antiqua" w:cs="Times New Roman"/>
          <w:lang w:eastAsia="hu-HU"/>
        </w:rPr>
        <w:t xml:space="preserve">21 </w:t>
      </w:r>
      <w:r w:rsidR="007B62FA">
        <w:rPr>
          <w:rFonts w:ascii="Book Antiqua" w:eastAsia="Times New Roman" w:hAnsi="Book Antiqua" w:cs="Times New Roman"/>
          <w:lang w:eastAsia="hu-HU"/>
        </w:rPr>
        <w:t>db</w:t>
      </w:r>
      <w:r w:rsidRPr="00B80350">
        <w:rPr>
          <w:rFonts w:ascii="Book Antiqua" w:eastAsia="Times New Roman" w:hAnsi="Book Antiqua" w:cs="Times New Roman"/>
          <w:lang w:eastAsia="hu-HU"/>
        </w:rPr>
        <w:t>) küldtünk ki az adózóknak.</w:t>
      </w:r>
    </w:p>
    <w:p w14:paraId="3A9A3AC2" w14:textId="77777777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02DD1DDA" w14:textId="49CCF33A" w:rsidR="00BF5B29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Az idei évben összesen 5 db méltányossági kérelem érkezett melyek részletfizetésre irányultak. Ezek mindegyikének egészben helyt adtunk, egyet sem utasítottunk el.</w:t>
      </w:r>
    </w:p>
    <w:p w14:paraId="581BDD56" w14:textId="1BC409A6" w:rsidR="00DD5EB5" w:rsidRPr="00B80350" w:rsidRDefault="00DD5EB5" w:rsidP="00BF5B2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5C2C32EE" w14:textId="05659022" w:rsidR="00D64708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</w:p>
    <w:p w14:paraId="27F7A117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61EBB5C9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2AA9D655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50904D73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4AF8150F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2A4CC9F3" w14:textId="77777777" w:rsidR="00314F5F" w:rsidRDefault="00314F5F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0B70B05B" w14:textId="77777777" w:rsidR="00DD5EB5" w:rsidRPr="00B80350" w:rsidRDefault="00DD5EB5" w:rsidP="00DD5EB5">
      <w:pPr>
        <w:numPr>
          <w:ilvl w:val="0"/>
          <w:numId w:val="2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b/>
          <w:u w:val="single"/>
          <w:lang w:eastAsia="hu-HU"/>
        </w:rPr>
        <w:lastRenderedPageBreak/>
        <w:t xml:space="preserve">Idegenforgalmi adó (vendégéjszakák után): </w:t>
      </w:r>
    </w:p>
    <w:p w14:paraId="7D2A5524" w14:textId="77777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360"/>
        <w:jc w:val="both"/>
        <w:rPr>
          <w:rFonts w:ascii="Book Antiqua" w:eastAsia="Times New Roman" w:hAnsi="Book Antiqua" w:cs="Times New Roman"/>
          <w:b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DD5EB5" w:rsidRPr="00B80350" w14:paraId="2C9B24CC" w14:textId="77777777" w:rsidTr="003372C3">
        <w:tc>
          <w:tcPr>
            <w:tcW w:w="4761" w:type="dxa"/>
          </w:tcPr>
          <w:p w14:paraId="5C114E39" w14:textId="6D031B1A" w:rsidR="00DD5EB5" w:rsidRPr="00B80350" w:rsidRDefault="00DD5EB5" w:rsidP="00FB37A6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</w:t>
            </w:r>
            <w:r w:rsidR="00A76A9F" w:rsidRPr="00B80350">
              <w:rPr>
                <w:rFonts w:ascii="Book Antiqua" w:eastAsia="Times New Roman" w:hAnsi="Book Antiqua" w:cs="Times New Roman"/>
                <w:lang w:eastAsia="hu-HU"/>
              </w:rPr>
              <w:t>4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november 2</w:t>
            </w:r>
            <w:r w:rsidR="00FB37A6" w:rsidRPr="00B80350">
              <w:rPr>
                <w:rFonts w:ascii="Book Antiqua" w:eastAsia="Times New Roman" w:hAnsi="Book Antiqua" w:cs="Times New Roman"/>
                <w:lang w:eastAsia="hu-HU"/>
              </w:rPr>
              <w:t>6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4BD633EA" w14:textId="438D2971" w:rsidR="00FB37A6" w:rsidRPr="00B80350" w:rsidRDefault="00FB37A6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4</w:t>
            </w:r>
            <w:r w:rsidR="000A203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.735.70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0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.- Ft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 </w:t>
            </w:r>
          </w:p>
          <w:p w14:paraId="612A9BAF" w14:textId="7392772A" w:rsidR="00DD5EB5" w:rsidRPr="00B80350" w:rsidRDefault="00DD5EB5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(202</w:t>
            </w:r>
            <w:r w:rsidR="00F4081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4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. évi előirányzat: </w:t>
            </w:r>
            <w:r w:rsidR="00A76A9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2.000.000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.-Ft)</w:t>
            </w:r>
          </w:p>
          <w:p w14:paraId="3AA37A64" w14:textId="197BA773" w:rsidR="00DD5EB5" w:rsidRPr="00B80350" w:rsidRDefault="00DD5EB5" w:rsidP="00A76A9F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Teljesítés: </w:t>
            </w:r>
            <w:r w:rsidR="000A203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236,8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%</w:t>
            </w:r>
          </w:p>
        </w:tc>
      </w:tr>
    </w:tbl>
    <w:p w14:paraId="56DF711D" w14:textId="77777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77825B9B" w14:textId="77777777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Bevallási kötelezettség elmulasztása miatt 1 esetben kellett felhívást küldeni a szálláshely üzemeltetőjének az utólagos teljesítésre.</w:t>
      </w:r>
    </w:p>
    <w:p w14:paraId="4D37B1E3" w14:textId="77777777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Adóhatósági munkakörbe tartozik a bírósági végrehajtók, NAV, társ önkormányzatok, és saját hivatal megkeresésére adó- és értékbizonyítványok elkészítése.</w:t>
      </w:r>
    </w:p>
    <w:p w14:paraId="6CB03F02" w14:textId="77777777" w:rsidR="00FB37A6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1753DD50" w14:textId="406E1EFF" w:rsidR="00BF5B29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2024. november 30-ig 104 db ingatlan estében került adó- és értékbizonyítvány kiállításra, melynek megküldése társhatóság és végrehajtói iroda részére elektronikusan úton történik.</w:t>
      </w:r>
    </w:p>
    <w:p w14:paraId="075E0C0D" w14:textId="77777777" w:rsid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07A3F2B6" w14:textId="77777777" w:rsidR="003F6C0B" w:rsidRPr="00B80350" w:rsidRDefault="003F6C0B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45BE8738" w14:textId="77777777" w:rsidR="00DD5EB5" w:rsidRPr="00B80350" w:rsidRDefault="00DD5EB5" w:rsidP="00DD5EB5">
      <w:pPr>
        <w:numPr>
          <w:ilvl w:val="1"/>
          <w:numId w:val="1"/>
        </w:numPr>
        <w:tabs>
          <w:tab w:val="clear" w:pos="1440"/>
          <w:tab w:val="num" w:pos="360"/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bCs/>
          <w:u w:val="single"/>
          <w:lang w:eastAsia="hu-HU"/>
        </w:rPr>
        <w:t>Telekadó:</w:t>
      </w:r>
    </w:p>
    <w:p w14:paraId="39564D61" w14:textId="77777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07417A" w:rsidRPr="00B80350" w14:paraId="41D6B86C" w14:textId="77777777" w:rsidTr="003372C3">
        <w:tc>
          <w:tcPr>
            <w:tcW w:w="4761" w:type="dxa"/>
          </w:tcPr>
          <w:p w14:paraId="4EEBBF10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2024. november 26. napjáig történt meg, ez alapján e dátumig befolyt összeg:</w:t>
            </w:r>
          </w:p>
        </w:tc>
        <w:tc>
          <w:tcPr>
            <w:tcW w:w="4762" w:type="dxa"/>
          </w:tcPr>
          <w:p w14:paraId="450DB72F" w14:textId="0B2CE722" w:rsidR="0007417A" w:rsidRPr="00B80350" w:rsidRDefault="000A203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94.522</w:t>
            </w:r>
            <w:r w:rsidR="0007417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.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9</w:t>
            </w:r>
            <w:r w:rsidR="0007417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00.- Ft</w:t>
            </w:r>
          </w:p>
          <w:p w14:paraId="3A394EE8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(2024. évi előirányzat: 75.000.000.- Ft)</w:t>
            </w:r>
          </w:p>
          <w:p w14:paraId="4394E309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Teljesítés: 126% </w:t>
            </w:r>
            <w:r w:rsidRPr="00B80350">
              <w:rPr>
                <w:rFonts w:ascii="Book Antiqua" w:eastAsia="Times New Roman" w:hAnsi="Book Antiqua" w:cs="Times New Roman"/>
                <w:bCs/>
                <w:lang w:eastAsia="hu-HU"/>
              </w:rPr>
              <w:t xml:space="preserve"> </w:t>
            </w:r>
          </w:p>
        </w:tc>
      </w:tr>
    </w:tbl>
    <w:p w14:paraId="7AE21926" w14:textId="77777777" w:rsidR="0007417A" w:rsidRPr="00B80350" w:rsidRDefault="0007417A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p w14:paraId="3A80F1A5" w14:textId="41BEC2E8" w:rsidR="00021FD3" w:rsidRPr="00B80350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Az idei évben összesen 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>7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db méltá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 xml:space="preserve">nyossági kérelem érkezett melyből 4 </w:t>
      </w:r>
      <w:r w:rsidR="0007417A" w:rsidRPr="00B80350">
        <w:rPr>
          <w:rFonts w:ascii="Book Antiqua" w:eastAsia="Times New Roman" w:hAnsi="Book Antiqua" w:cs="Times New Roman"/>
          <w:bCs/>
          <w:lang w:eastAsia="hu-HU"/>
        </w:rPr>
        <w:t>db mérséklésre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>irányult, 2 db fizetési halasztásra, és 1 db részletfizetésre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. 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>Ezek mindegyikének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420DDF" w:rsidRPr="00B80350">
        <w:rPr>
          <w:rFonts w:ascii="Book Antiqua" w:eastAsia="Times New Roman" w:hAnsi="Book Antiqua" w:cs="Times New Roman"/>
          <w:bCs/>
          <w:lang w:eastAsia="hu-HU"/>
        </w:rPr>
        <w:t xml:space="preserve">részben vagy egészben </w:t>
      </w:r>
      <w:r w:rsidRPr="00B80350">
        <w:rPr>
          <w:rFonts w:ascii="Book Antiqua" w:eastAsia="Times New Roman" w:hAnsi="Book Antiqua" w:cs="Times New Roman"/>
          <w:bCs/>
          <w:lang w:eastAsia="hu-HU"/>
        </w:rPr>
        <w:t>helyt ad</w:t>
      </w:r>
      <w:r w:rsidR="00420DDF" w:rsidRPr="00B80350">
        <w:rPr>
          <w:rFonts w:ascii="Book Antiqua" w:eastAsia="Times New Roman" w:hAnsi="Book Antiqua" w:cs="Times New Roman"/>
          <w:bCs/>
          <w:lang w:eastAsia="hu-HU"/>
        </w:rPr>
        <w:t>tunk, egyet sem utasítottunk el, 3 db elbírálása pedig még folyamatban van.</w:t>
      </w:r>
    </w:p>
    <w:p w14:paraId="7FC3085A" w14:textId="77777777" w:rsidR="00021FD3" w:rsidRPr="00B80350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7842FD7A" w14:textId="3C5CAB42" w:rsidR="00021FD3" w:rsidRPr="00B80350" w:rsidRDefault="002031C9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021FD3" w:rsidRPr="00B80350">
        <w:rPr>
          <w:rFonts w:ascii="Book Antiqua" w:eastAsia="Times New Roman" w:hAnsi="Book Antiqua" w:cs="Times New Roman"/>
          <w:bCs/>
          <w:lang w:eastAsia="hu-HU"/>
        </w:rPr>
        <w:t xml:space="preserve">A 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 xml:space="preserve">2024-es évben </w:t>
      </w:r>
      <w:r w:rsidR="00021FD3" w:rsidRPr="00B80350">
        <w:rPr>
          <w:rFonts w:ascii="Book Antiqua" w:eastAsia="Times New Roman" w:hAnsi="Book Antiqua" w:cs="Times New Roman"/>
          <w:bCs/>
          <w:lang w:eastAsia="hu-HU"/>
        </w:rPr>
        <w:t xml:space="preserve">összesen </w:t>
      </w:r>
      <w:r w:rsidR="003A7D3C" w:rsidRPr="00B80350">
        <w:rPr>
          <w:rFonts w:ascii="Book Antiqua" w:eastAsia="Times New Roman" w:hAnsi="Book Antiqua" w:cs="Times New Roman"/>
          <w:bCs/>
          <w:lang w:eastAsia="hu-HU"/>
        </w:rPr>
        <w:t>132</w:t>
      </w:r>
      <w:r w:rsidR="00021FD3" w:rsidRPr="00B80350">
        <w:rPr>
          <w:rFonts w:ascii="Book Antiqua" w:eastAsia="Times New Roman" w:hAnsi="Book Antiqua" w:cs="Times New Roman"/>
          <w:bCs/>
          <w:lang w:eastAsia="hu-HU"/>
        </w:rPr>
        <w:t xml:space="preserve"> db bevallás került feldolgozásra</w:t>
      </w:r>
      <w:r w:rsidR="003A7D3C" w:rsidRPr="00B80350">
        <w:rPr>
          <w:rFonts w:ascii="Book Antiqua" w:eastAsia="Times New Roman" w:hAnsi="Book Antiqua" w:cs="Times New Roman"/>
          <w:bCs/>
          <w:lang w:eastAsia="hu-HU"/>
        </w:rPr>
        <w:t xml:space="preserve">, melyből 56 db adóhatósági </w:t>
      </w:r>
      <w:proofErr w:type="spellStart"/>
      <w:r w:rsidR="003A7D3C" w:rsidRPr="00B80350">
        <w:rPr>
          <w:rFonts w:ascii="Book Antiqua" w:eastAsia="Times New Roman" w:hAnsi="Book Antiqua" w:cs="Times New Roman"/>
          <w:bCs/>
          <w:lang w:eastAsia="hu-HU"/>
        </w:rPr>
        <w:t>adómegállapítás</w:t>
      </w:r>
      <w:proofErr w:type="spellEnd"/>
      <w:r w:rsidR="003A7D3C" w:rsidRPr="00B80350">
        <w:rPr>
          <w:rFonts w:ascii="Book Antiqua" w:eastAsia="Times New Roman" w:hAnsi="Book Antiqua" w:cs="Times New Roman"/>
          <w:bCs/>
          <w:lang w:eastAsia="hu-HU"/>
        </w:rPr>
        <w:t xml:space="preserve"> volt.</w:t>
      </w:r>
      <w:r w:rsidR="00021FD3"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C558FD"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</w:p>
    <w:p w14:paraId="3D03278F" w14:textId="77777777" w:rsidR="00021FD3" w:rsidRPr="00B80350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3D1164B4" w14:textId="58965F76" w:rsidR="00021FD3" w:rsidRPr="00B80350" w:rsidRDefault="00021FD3" w:rsidP="00021FD3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Azoknál az adózóknál, ahol többszöri fizetési felszólítás sem vezetett eredményre vagy notórius adótartozó, ott megindítottuk a végrehajtási eljárásokat </w:t>
      </w:r>
      <w:r w:rsidR="00C558FD" w:rsidRPr="00B80350">
        <w:rPr>
          <w:rFonts w:ascii="Book Antiqua" w:eastAsia="Times New Roman" w:hAnsi="Book Antiqua" w:cs="Times New Roman"/>
          <w:lang w:eastAsia="hu-HU"/>
        </w:rPr>
        <w:t xml:space="preserve">2 alkalommal, </w:t>
      </w:r>
      <w:r w:rsidR="003A7D3C" w:rsidRPr="00B80350">
        <w:rPr>
          <w:rFonts w:ascii="Book Antiqua" w:eastAsia="Times New Roman" w:hAnsi="Book Antiqua" w:cs="Times New Roman"/>
          <w:lang w:eastAsia="hu-HU"/>
        </w:rPr>
        <w:t xml:space="preserve">július illetve október hónap folyamán mind a jogi-, mind pedig a magánszemély adózók tekintetében </w:t>
      </w:r>
      <w:proofErr w:type="gramStart"/>
      <w:r w:rsidRPr="00B80350">
        <w:rPr>
          <w:rFonts w:ascii="Book Antiqua" w:eastAsia="Times New Roman" w:hAnsi="Book Antiqua" w:cs="Times New Roman"/>
          <w:lang w:eastAsia="hu-HU"/>
        </w:rPr>
        <w:t>(jelzálogjog</w:t>
      </w:r>
      <w:proofErr w:type="gramEnd"/>
      <w:r w:rsidRPr="00B80350">
        <w:rPr>
          <w:rFonts w:ascii="Book Antiqua" w:eastAsia="Times New Roman" w:hAnsi="Book Antiqua" w:cs="Times New Roman"/>
          <w:lang w:eastAsia="hu-HU"/>
        </w:rPr>
        <w:t xml:space="preserve"> bejegyzés, inkasszó, munkabér letiltás), melyek jelentős része eredményesen zárult.</w:t>
      </w:r>
      <w:r w:rsidR="00C16C3E" w:rsidRPr="00B80350">
        <w:rPr>
          <w:rFonts w:ascii="Book Antiqua" w:eastAsia="Times New Roman" w:hAnsi="Book Antiqua" w:cs="Times New Roman"/>
          <w:lang w:eastAsia="hu-HU"/>
        </w:rPr>
        <w:t xml:space="preserve"> </w:t>
      </w:r>
    </w:p>
    <w:p w14:paraId="5F607DEB" w14:textId="77777777" w:rsidR="00021FD3" w:rsidRPr="00B80350" w:rsidRDefault="00021FD3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3EE35A81" w14:textId="382A56D4" w:rsidR="009B0EF5" w:rsidRPr="00B80350" w:rsidRDefault="009B0EF5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Az idei évben a tulajdonosváltozások nyomán (építőipari cégek, magánszemélyek) </w:t>
      </w:r>
      <w:r w:rsidR="003A7D3C" w:rsidRPr="00B80350">
        <w:rPr>
          <w:rFonts w:ascii="Book Antiqua" w:eastAsia="Times New Roman" w:hAnsi="Book Antiqua" w:cs="Times New Roman"/>
          <w:bCs/>
          <w:lang w:eastAsia="hu-HU"/>
        </w:rPr>
        <w:t>19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db felhívás került kiküldésre, mert az adózók nem tesznek eleget bevallási kötelezettségüknek. Számos esetben év közben derült fény idén is az elidegenítésekre, így a változások átvezetésére is.</w:t>
      </w:r>
      <w:r w:rsidR="00D8697A"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3A7D3C" w:rsidRPr="00B80350">
        <w:rPr>
          <w:rFonts w:ascii="Book Antiqua" w:eastAsia="Times New Roman" w:hAnsi="Book Antiqua" w:cs="Times New Roman"/>
          <w:bCs/>
          <w:lang w:eastAsia="hu-HU"/>
        </w:rPr>
        <w:t xml:space="preserve">Számos </w:t>
      </w:r>
      <w:r w:rsidR="00D8697A" w:rsidRPr="00B80350">
        <w:rPr>
          <w:rFonts w:ascii="Book Antiqua" w:eastAsia="Times New Roman" w:hAnsi="Book Antiqua" w:cs="Times New Roman"/>
          <w:bCs/>
          <w:lang w:eastAsia="hu-HU"/>
        </w:rPr>
        <w:t>kivetés a bevallások hiányáb</w:t>
      </w:r>
      <w:r w:rsidR="00B80350">
        <w:rPr>
          <w:rFonts w:ascii="Book Antiqua" w:eastAsia="Times New Roman" w:hAnsi="Book Antiqua" w:cs="Times New Roman"/>
          <w:bCs/>
          <w:lang w:eastAsia="hu-HU"/>
        </w:rPr>
        <w:t xml:space="preserve">an adóhatósági </w:t>
      </w:r>
      <w:proofErr w:type="spellStart"/>
      <w:r w:rsidR="00B80350">
        <w:rPr>
          <w:rFonts w:ascii="Book Antiqua" w:eastAsia="Times New Roman" w:hAnsi="Book Antiqua" w:cs="Times New Roman"/>
          <w:bCs/>
          <w:lang w:eastAsia="hu-HU"/>
        </w:rPr>
        <w:t>adómegállapítás</w:t>
      </w:r>
      <w:proofErr w:type="spellEnd"/>
      <w:r w:rsidR="00D8697A" w:rsidRPr="00B80350">
        <w:rPr>
          <w:rFonts w:ascii="Book Antiqua" w:eastAsia="Times New Roman" w:hAnsi="Book Antiqua" w:cs="Times New Roman"/>
          <w:bCs/>
          <w:lang w:eastAsia="hu-HU"/>
        </w:rPr>
        <w:t xml:space="preserve"> útján történt.</w:t>
      </w:r>
    </w:p>
    <w:p w14:paraId="417E7DC2" w14:textId="77777777" w:rsidR="00E249F0" w:rsidRPr="00B80350" w:rsidRDefault="00E249F0" w:rsidP="009B0EF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3FC713BC" w14:textId="76A4154D" w:rsidR="009B0EF5" w:rsidRPr="00B80350" w:rsidRDefault="009B0EF5" w:rsidP="003A7D3C">
      <w:pPr>
        <w:numPr>
          <w:ilvl w:val="0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 w:hanging="207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a végrehajtási eljárásunk megindítását megelőzően, </w:t>
      </w:r>
      <w:r w:rsidR="003A7D3C" w:rsidRPr="00B80350">
        <w:rPr>
          <w:rFonts w:ascii="Book Antiqua" w:eastAsia="Times New Roman" w:hAnsi="Book Antiqua" w:cs="Times New Roman"/>
          <w:bCs/>
          <w:lang w:eastAsia="hu-HU"/>
        </w:rPr>
        <w:t>októbe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r végén fizetési felhívásokat küldtünk ki, melyek nyomán a tartozások </w:t>
      </w:r>
      <w:r w:rsidR="00D8697A" w:rsidRPr="00B80350">
        <w:rPr>
          <w:rFonts w:ascii="Book Antiqua" w:eastAsia="Times New Roman" w:hAnsi="Book Antiqua" w:cs="Times New Roman"/>
          <w:bCs/>
          <w:lang w:eastAsia="hu-HU"/>
        </w:rPr>
        <w:t>egy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része befizetésre került. A fizetési határidők elteltét követően a jogi személyek esetében inkasszót, illetőleg a magánszemélyeknél </w:t>
      </w:r>
      <w:proofErr w:type="gramStart"/>
      <w:r w:rsidRPr="00B80350">
        <w:rPr>
          <w:rFonts w:ascii="Book Antiqua" w:eastAsia="Times New Roman" w:hAnsi="Book Antiqua" w:cs="Times New Roman"/>
          <w:bCs/>
          <w:lang w:eastAsia="hu-HU"/>
        </w:rPr>
        <w:t>letiltásokat eszközöltünk</w:t>
      </w:r>
      <w:proofErr w:type="gramEnd"/>
      <w:r w:rsidR="00D8697A" w:rsidRPr="00B80350">
        <w:rPr>
          <w:rFonts w:ascii="Book Antiqua" w:eastAsia="Times New Roman" w:hAnsi="Book Antiqua" w:cs="Times New Roman"/>
          <w:bCs/>
          <w:lang w:eastAsia="hu-HU"/>
        </w:rPr>
        <w:t>, több-kevesebb sikerrel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. </w:t>
      </w:r>
    </w:p>
    <w:p w14:paraId="448ECFC3" w14:textId="12FB71AB" w:rsidR="00C16C3E" w:rsidRPr="00B80350" w:rsidRDefault="00C16C3E" w:rsidP="00C16C3E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A mai nappal bezárólag a jogi személyektől közel 9 millió Ft-ot sikerült behajtanunk, a magánszemély adózóktól pedig</w:t>
      </w:r>
      <w:r w:rsidR="0032412D" w:rsidRPr="00B80350">
        <w:rPr>
          <w:rFonts w:ascii="Book Antiqua" w:eastAsia="Times New Roman" w:hAnsi="Book Antiqua" w:cs="Times New Roman"/>
          <w:bCs/>
          <w:lang w:eastAsia="hu-HU"/>
        </w:rPr>
        <w:t xml:space="preserve"> mintegy 2,5 millió Ft folyt be.</w:t>
      </w:r>
    </w:p>
    <w:p w14:paraId="534CDC47" w14:textId="77777777" w:rsidR="009B0EF5" w:rsidRPr="00B80350" w:rsidRDefault="009B0EF5" w:rsidP="009B0EF5">
      <w:pPr>
        <w:numPr>
          <w:ilvl w:val="0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567" w:hanging="207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Jogorvoslati eljárás került lefolytatásra idén az alábbiak szerint:</w:t>
      </w:r>
    </w:p>
    <w:p w14:paraId="46AB667C" w14:textId="31C12A41" w:rsidR="009B0EF5" w:rsidRPr="00B80350" w:rsidRDefault="003A7D3C" w:rsidP="009B0EF5">
      <w:pPr>
        <w:numPr>
          <w:ilvl w:val="1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2</w:t>
      </w:r>
      <w:r w:rsidR="009B0EF5" w:rsidRPr="00B80350">
        <w:rPr>
          <w:rFonts w:ascii="Book Antiqua" w:eastAsia="Times New Roman" w:hAnsi="Book Antiqua" w:cs="Times New Roman"/>
          <w:bCs/>
          <w:lang w:eastAsia="hu-HU"/>
        </w:rPr>
        <w:t xml:space="preserve"> fő 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magánszemély </w:t>
      </w:r>
      <w:r w:rsidR="009B0EF5" w:rsidRPr="00B80350">
        <w:rPr>
          <w:rFonts w:ascii="Book Antiqua" w:eastAsia="Times New Roman" w:hAnsi="Book Antiqua" w:cs="Times New Roman"/>
          <w:bCs/>
          <w:lang w:eastAsia="hu-HU"/>
        </w:rPr>
        <w:t xml:space="preserve">adózó ügyében </w:t>
      </w:r>
      <w:r w:rsidRPr="00B80350">
        <w:rPr>
          <w:rFonts w:ascii="Book Antiqua" w:eastAsia="Times New Roman" w:hAnsi="Book Antiqua" w:cs="Times New Roman"/>
          <w:bCs/>
          <w:lang w:eastAsia="hu-HU"/>
        </w:rPr>
        <w:t>a Kormányhivatal új eljárásra utasította Adóhatóságunkat</w:t>
      </w:r>
    </w:p>
    <w:p w14:paraId="3E111E38" w14:textId="74CCF42B" w:rsidR="003A7D3C" w:rsidRPr="00B80350" w:rsidRDefault="003A7D3C" w:rsidP="009B0EF5">
      <w:pPr>
        <w:numPr>
          <w:ilvl w:val="1"/>
          <w:numId w:val="3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>1 fő jogi személy adózónk tekintetében még mindig tart a Kormányhivatal új felülvizsgálati eljárása.</w:t>
      </w:r>
    </w:p>
    <w:p w14:paraId="690E9054" w14:textId="77777777" w:rsidR="00DD5EB5" w:rsidRPr="00B80350" w:rsidRDefault="00DD5EB5" w:rsidP="00DD5EB5">
      <w:pPr>
        <w:numPr>
          <w:ilvl w:val="1"/>
          <w:numId w:val="1"/>
        </w:numPr>
        <w:tabs>
          <w:tab w:val="clear" w:pos="1440"/>
          <w:tab w:val="left" w:pos="284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284" w:hanging="284"/>
        <w:jc w:val="both"/>
        <w:rPr>
          <w:rFonts w:ascii="Book Antiqua" w:eastAsia="Times New Roman" w:hAnsi="Book Antiqua" w:cs="Times New Roman"/>
          <w:b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u w:val="single"/>
          <w:lang w:eastAsia="hu-HU"/>
        </w:rPr>
        <w:lastRenderedPageBreak/>
        <w:t>Talajterhelési díj:</w:t>
      </w:r>
    </w:p>
    <w:p w14:paraId="0907C27C" w14:textId="77777777" w:rsidR="0007417A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07417A" w:rsidRPr="00B80350" w14:paraId="04FC95B5" w14:textId="77777777" w:rsidTr="003372C3">
        <w:tc>
          <w:tcPr>
            <w:tcW w:w="4761" w:type="dxa"/>
          </w:tcPr>
          <w:p w14:paraId="2A9ED36C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2024. november 24. napjáig történt meg, ez alapján e dátumig befolyt összeg:</w:t>
            </w:r>
          </w:p>
        </w:tc>
        <w:tc>
          <w:tcPr>
            <w:tcW w:w="4762" w:type="dxa"/>
          </w:tcPr>
          <w:p w14:paraId="5BD7B750" w14:textId="5A7AB5B9" w:rsidR="00FB37A6" w:rsidRPr="00B80350" w:rsidRDefault="00FB37A6" w:rsidP="00FB37A6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728.3</w:t>
            </w:r>
            <w:r w:rsidR="000A203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0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0.- Ft </w:t>
            </w:r>
          </w:p>
          <w:p w14:paraId="65170C7E" w14:textId="7DA060CF" w:rsidR="0007417A" w:rsidRPr="00B80350" w:rsidRDefault="00FB37A6" w:rsidP="00FB37A6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color w:val="FF0000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</w:t>
            </w:r>
            <w:r w:rsidR="0007417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(2024. évi előirányzat: 1.000.000.- Ft)</w:t>
            </w:r>
          </w:p>
          <w:p w14:paraId="404728FF" w14:textId="309A4E34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Teljesítés: </w:t>
            </w:r>
            <w:r w:rsidR="000A203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72,8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% </w:t>
            </w:r>
            <w:r w:rsidRPr="00B80350">
              <w:rPr>
                <w:rFonts w:ascii="Book Antiqua" w:eastAsia="Times New Roman" w:hAnsi="Book Antiqua" w:cs="Times New Roman"/>
                <w:bCs/>
                <w:lang w:eastAsia="hu-HU"/>
              </w:rPr>
              <w:t xml:space="preserve">  </w:t>
            </w:r>
          </w:p>
        </w:tc>
      </w:tr>
    </w:tbl>
    <w:p w14:paraId="1ED8F19C" w14:textId="77777777" w:rsidR="00FB37A6" w:rsidRPr="00B80350" w:rsidRDefault="00DD5EB5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br/>
      </w:r>
      <w:r w:rsidR="00FB37A6" w:rsidRPr="00B80350">
        <w:rPr>
          <w:rFonts w:ascii="Book Antiqua" w:eastAsia="Times New Roman" w:hAnsi="Book Antiqua" w:cs="Times New Roman"/>
          <w:lang w:eastAsia="hu-HU"/>
        </w:rPr>
        <w:t xml:space="preserve">Az idei évben is megküldésre kerültek az ingatlantulajdonosok címére a bevallási nyomtatványok, ill. a csekkek, melyeken a bevallás megtételével egyidejűleg kellett megfizetniük a talajterhelési díj összegét, mely összesen 51 fő ingatlantulajdonost érintett. Az ingatlantulajdonosok kb. 3/4-e tett bevallást és fizette be a fogyasztás utáni díjat.  Számos fogyasztó/adózó esetében egyeztetést folytattunk a DPMV </w:t>
      </w:r>
      <w:proofErr w:type="spellStart"/>
      <w:r w:rsidR="00FB37A6" w:rsidRPr="00B80350">
        <w:rPr>
          <w:rFonts w:ascii="Book Antiqua" w:eastAsia="Times New Roman" w:hAnsi="Book Antiqua" w:cs="Times New Roman"/>
          <w:lang w:eastAsia="hu-HU"/>
        </w:rPr>
        <w:t>Zrt-vel</w:t>
      </w:r>
      <w:proofErr w:type="spellEnd"/>
      <w:r w:rsidR="00FB37A6" w:rsidRPr="00B80350">
        <w:rPr>
          <w:rFonts w:ascii="Book Antiqua" w:eastAsia="Times New Roman" w:hAnsi="Book Antiqua" w:cs="Times New Roman"/>
          <w:lang w:eastAsia="hu-HU"/>
        </w:rPr>
        <w:t>. Részletfizetési kedvezményt egy fő esetében engedélyeztünk.</w:t>
      </w:r>
    </w:p>
    <w:p w14:paraId="6EC3D40F" w14:textId="03B9BE86" w:rsidR="00DD5EB5" w:rsidRPr="00B80350" w:rsidRDefault="00FB37A6" w:rsidP="00FB37A6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A talajterhelési díjra kötelezett ingatlantulajdonosok száma évről évre csökken, mert egyre több a közcsatornára rákötők száma.</w:t>
      </w:r>
    </w:p>
    <w:p w14:paraId="69AB32B7" w14:textId="77777777" w:rsidR="00DD5EB5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579BB205" w14:textId="77777777" w:rsidR="00B80350" w:rsidRPr="00B80350" w:rsidRDefault="00B80350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480F3276" w14:textId="77777777" w:rsidR="00DD5EB5" w:rsidRPr="00B80350" w:rsidRDefault="00DD5EB5" w:rsidP="00DD5EB5">
      <w:pPr>
        <w:numPr>
          <w:ilvl w:val="1"/>
          <w:numId w:val="1"/>
        </w:numPr>
        <w:tabs>
          <w:tab w:val="clear" w:pos="1440"/>
          <w:tab w:val="left" w:pos="567"/>
        </w:tabs>
        <w:spacing w:after="0" w:line="240" w:lineRule="auto"/>
        <w:ind w:hanging="1440"/>
        <w:jc w:val="both"/>
        <w:rPr>
          <w:rFonts w:ascii="Book Antiqua" w:eastAsia="Times New Roman" w:hAnsi="Book Antiqua" w:cs="Times New Roman"/>
          <w:b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u w:val="single"/>
          <w:lang w:eastAsia="hu-HU"/>
        </w:rPr>
        <w:t>Települési adó</w:t>
      </w:r>
    </w:p>
    <w:p w14:paraId="7809B055" w14:textId="77777777" w:rsidR="0007417A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color w:val="FF0000"/>
          <w:lang w:eastAsia="hu-HU"/>
        </w:rPr>
      </w:pPr>
      <w:r w:rsidRPr="00B80350">
        <w:rPr>
          <w:rFonts w:ascii="Book Antiqua" w:eastAsia="Times New Roman" w:hAnsi="Book Antiqua" w:cs="Times New Roman"/>
          <w:color w:val="FF0000"/>
          <w:lang w:eastAsia="hu-H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07417A" w:rsidRPr="00B80350" w14:paraId="62DAD73E" w14:textId="77777777" w:rsidTr="003372C3">
        <w:tc>
          <w:tcPr>
            <w:tcW w:w="4761" w:type="dxa"/>
          </w:tcPr>
          <w:p w14:paraId="7B2B39FF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2024. november 26. napjáig történt meg, ez alapján e dátumig befolyt összeg:</w:t>
            </w:r>
          </w:p>
        </w:tc>
        <w:tc>
          <w:tcPr>
            <w:tcW w:w="4762" w:type="dxa"/>
          </w:tcPr>
          <w:p w14:paraId="445CED90" w14:textId="2F7DD005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4.</w:t>
            </w:r>
            <w:r w:rsidR="000A203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129.900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.- Ft</w:t>
            </w:r>
          </w:p>
          <w:p w14:paraId="3C1285F4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(2024. évi előirányzat: 4.000.000.- Ft)</w:t>
            </w:r>
          </w:p>
          <w:p w14:paraId="2DA9B6E9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Teljesítés: 103,2% </w:t>
            </w:r>
            <w:r w:rsidRPr="00B80350">
              <w:rPr>
                <w:rFonts w:ascii="Book Antiqua" w:eastAsia="Times New Roman" w:hAnsi="Book Antiqua" w:cs="Times New Roman"/>
                <w:bCs/>
                <w:lang w:eastAsia="hu-HU"/>
              </w:rPr>
              <w:t xml:space="preserve"> 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</w:t>
            </w:r>
            <w:r w:rsidRPr="00B80350">
              <w:rPr>
                <w:rFonts w:ascii="Book Antiqua" w:eastAsia="Times New Roman" w:hAnsi="Book Antiqua" w:cs="Times New Roman"/>
                <w:bCs/>
                <w:lang w:eastAsia="hu-HU"/>
              </w:rPr>
              <w:t xml:space="preserve"> </w:t>
            </w:r>
          </w:p>
        </w:tc>
      </w:tr>
    </w:tbl>
    <w:p w14:paraId="0A0FAEBD" w14:textId="26BEA777" w:rsidR="00DD5EB5" w:rsidRPr="00B80350" w:rsidRDefault="00DD5EB5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color w:val="FF0000"/>
          <w:lang w:eastAsia="hu-HU"/>
        </w:rPr>
        <w:br/>
      </w:r>
      <w:r w:rsidR="003A7D3C" w:rsidRPr="00B80350">
        <w:rPr>
          <w:rFonts w:ascii="Book Antiqua" w:eastAsia="Times New Roman" w:hAnsi="Book Antiqua" w:cs="Times New Roman"/>
          <w:lang w:eastAsia="hu-HU"/>
        </w:rPr>
        <w:t>Települési adónemben november hónapban 15 fő adózó részére került fizetési felszólítás megküldésre, ezek tekintetében a befizetések még nem realizálódtak.</w:t>
      </w:r>
    </w:p>
    <w:p w14:paraId="1BD90710" w14:textId="77777777" w:rsidR="00C16C3E" w:rsidRPr="00B80350" w:rsidRDefault="00C16C3E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6FF0B871" w14:textId="596CF8BA" w:rsidR="00C16C3E" w:rsidRPr="00B80350" w:rsidRDefault="00C16C3E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Települési adóban 3 méltányossági kérelem érkezett az év folyamán, melyek mindegyike adómérséklésre/elengedésre irányult. Egy kérelem elutasításra került, kettő kérelem mérséklés tekintetében jóváhagyásra került.</w:t>
      </w:r>
    </w:p>
    <w:p w14:paraId="248D7442" w14:textId="7D56C171" w:rsidR="00A7460B" w:rsidRPr="00B80350" w:rsidRDefault="00A7460B" w:rsidP="00DD5EB5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color w:val="FF0000"/>
          <w:lang w:eastAsia="hu-HU"/>
        </w:rPr>
      </w:pPr>
    </w:p>
    <w:p w14:paraId="795E171A" w14:textId="77777777" w:rsidR="00FC3C56" w:rsidRPr="00B80350" w:rsidRDefault="00FC3C56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u w:val="single"/>
          <w:lang w:eastAsia="hu-HU"/>
        </w:rPr>
      </w:pPr>
    </w:p>
    <w:p w14:paraId="4CE49C68" w14:textId="77777777" w:rsidR="0005152C" w:rsidRPr="00B80350" w:rsidRDefault="0005152C" w:rsidP="0005152C">
      <w:pPr>
        <w:numPr>
          <w:ilvl w:val="2"/>
          <w:numId w:val="1"/>
        </w:num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hanging="2160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bCs/>
          <w:u w:val="single"/>
          <w:lang w:eastAsia="hu-HU"/>
        </w:rPr>
        <w:t>Építményadó:</w:t>
      </w:r>
    </w:p>
    <w:p w14:paraId="79511CBE" w14:textId="77777777" w:rsidR="0005152C" w:rsidRPr="00B80350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07417A" w:rsidRPr="00B80350" w14:paraId="31D4871F" w14:textId="77777777" w:rsidTr="003372C3">
        <w:tc>
          <w:tcPr>
            <w:tcW w:w="4575" w:type="dxa"/>
          </w:tcPr>
          <w:p w14:paraId="1935A223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2024. november 21. napjáig történt meg, ez alapján e dátumig befolyt összeg:</w:t>
            </w:r>
          </w:p>
        </w:tc>
        <w:tc>
          <w:tcPr>
            <w:tcW w:w="4487" w:type="dxa"/>
          </w:tcPr>
          <w:p w14:paraId="3999E644" w14:textId="4EF43169" w:rsidR="0007417A" w:rsidRPr="00B80350" w:rsidRDefault="000A203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42.868.900</w:t>
            </w:r>
            <w:r w:rsidR="0007417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.-</w:t>
            </w:r>
            <w:r w:rsidR="0007417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Ft</w:t>
            </w:r>
          </w:p>
          <w:p w14:paraId="60239877" w14:textId="77777777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(2024. évi előirányzat: 35.000.000 Ft)</w:t>
            </w:r>
          </w:p>
          <w:p w14:paraId="509CFE4C" w14:textId="09187160" w:rsidR="0007417A" w:rsidRPr="00B80350" w:rsidRDefault="0007417A" w:rsidP="003372C3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Teljesítés: </w:t>
            </w:r>
            <w:r w:rsidR="000A203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122,5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%  </w:t>
            </w:r>
          </w:p>
        </w:tc>
      </w:tr>
    </w:tbl>
    <w:p w14:paraId="6F909875" w14:textId="77777777" w:rsidR="0007417A" w:rsidRPr="00B80350" w:rsidRDefault="0007417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u w:val="single"/>
          <w:lang w:eastAsia="hu-HU"/>
        </w:rPr>
      </w:pPr>
    </w:p>
    <w:p w14:paraId="5CFAFFB9" w14:textId="3DC752A0" w:rsidR="00FF5725" w:rsidRPr="00B80350" w:rsidRDefault="00FF572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Az idei évben is megtörtént a lakóházak és az üdülők esetében </w:t>
      </w:r>
      <w:r w:rsidR="00D93D2E" w:rsidRPr="00B80350">
        <w:rPr>
          <w:rFonts w:ascii="Book Antiqua" w:eastAsia="Times New Roman" w:hAnsi="Book Antiqua" w:cs="Times New Roman"/>
          <w:bCs/>
          <w:lang w:eastAsia="hu-HU"/>
        </w:rPr>
        <w:t>az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év k</w:t>
      </w:r>
      <w:r w:rsidR="00876CB4" w:rsidRPr="00B80350">
        <w:rPr>
          <w:rFonts w:ascii="Book Antiqua" w:eastAsia="Times New Roman" w:hAnsi="Book Antiqua" w:cs="Times New Roman"/>
          <w:bCs/>
          <w:lang w:eastAsia="hu-HU"/>
        </w:rPr>
        <w:t xml:space="preserve">özbeni változások feldolgozása és átvezetése, valamint 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az új kivetések rögzítése 2024. január 1-től. Idén is elvégeztük a rendszerben az elévült tételek kivezetését.  </w:t>
      </w:r>
    </w:p>
    <w:p w14:paraId="7BAEB429" w14:textId="77777777" w:rsidR="00ED45CA" w:rsidRPr="00B80350" w:rsidRDefault="00ED45C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50DB888F" w14:textId="33BA02E3" w:rsidR="00E34539" w:rsidRPr="00B80350" w:rsidRDefault="00ED45CA" w:rsidP="00E3453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Összesen </w:t>
      </w:r>
      <w:r w:rsidR="00CA0607" w:rsidRPr="00B80350">
        <w:rPr>
          <w:rFonts w:ascii="Book Antiqua" w:eastAsia="Times New Roman" w:hAnsi="Book Antiqua" w:cs="Times New Roman"/>
          <w:bCs/>
          <w:lang w:eastAsia="hu-HU"/>
        </w:rPr>
        <w:t xml:space="preserve">97 db bevallás benyújtására történő 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felhívást küldtünk ki</w:t>
      </w:r>
      <w:r w:rsidR="00CA0607" w:rsidRPr="00B80350">
        <w:rPr>
          <w:rFonts w:ascii="Book Antiqua" w:eastAsia="Times New Roman" w:hAnsi="Book Antiqua" w:cs="Times New Roman"/>
          <w:bCs/>
          <w:lang w:eastAsia="hu-HU"/>
        </w:rPr>
        <w:t xml:space="preserve">, 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149 db bevallás került feldolgozásra és azok alapján határozat 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készítése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2024-ben. </w:t>
      </w:r>
    </w:p>
    <w:p w14:paraId="78427889" w14:textId="752CFC7B" w:rsidR="00ED45CA" w:rsidRPr="00B80350" w:rsidRDefault="00ED45C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04BB891D" w14:textId="0AE30136" w:rsidR="00E34539" w:rsidRPr="00B80350" w:rsidRDefault="00ED45CA" w:rsidP="00E34539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Sajnos nem mutat javuló tendenciát az adózók jogszabályi kötelezettségének önkéntes teljesítése, 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sokan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024523" w:rsidRPr="00B80350">
        <w:rPr>
          <w:rFonts w:ascii="Book Antiqua" w:eastAsia="Times New Roman" w:hAnsi="Book Antiqua" w:cs="Times New Roman"/>
          <w:bCs/>
          <w:lang w:eastAsia="hu-HU"/>
        </w:rPr>
        <w:t>továbbra is csak felszólítás hatására nyújtj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ák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be bevallás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uka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t. </w:t>
      </w:r>
      <w:r w:rsidR="00E34539" w:rsidRPr="00B80350">
        <w:rPr>
          <w:rFonts w:ascii="Book Antiqua" w:eastAsia="Times New Roman" w:hAnsi="Book Antiqua" w:cs="Times New Roman"/>
          <w:bCs/>
          <w:lang w:eastAsia="hu-HU"/>
        </w:rPr>
        <w:t xml:space="preserve">Bevallások hiányában adóhatósági </w:t>
      </w:r>
      <w:proofErr w:type="spellStart"/>
      <w:r w:rsidR="00E34539" w:rsidRPr="00B80350">
        <w:rPr>
          <w:rFonts w:ascii="Book Antiqua" w:eastAsia="Times New Roman" w:hAnsi="Book Antiqua" w:cs="Times New Roman"/>
          <w:bCs/>
          <w:lang w:eastAsia="hu-HU"/>
        </w:rPr>
        <w:t>adómegállapítás</w:t>
      </w:r>
      <w:proofErr w:type="spellEnd"/>
      <w:r w:rsidR="00E34539" w:rsidRPr="00B80350">
        <w:rPr>
          <w:rFonts w:ascii="Book Antiqua" w:eastAsia="Times New Roman" w:hAnsi="Book Antiqua" w:cs="Times New Roman"/>
          <w:bCs/>
          <w:lang w:eastAsia="hu-HU"/>
        </w:rPr>
        <w:t xml:space="preserve"> útján vetettük ki az adót, </w:t>
      </w:r>
      <w:r w:rsidR="009E76AE" w:rsidRPr="00B80350">
        <w:rPr>
          <w:rFonts w:ascii="Book Antiqua" w:eastAsia="Times New Roman" w:hAnsi="Book Antiqua" w:cs="Times New Roman"/>
          <w:bCs/>
          <w:lang w:eastAsia="hu-HU"/>
        </w:rPr>
        <w:t>ahol</w:t>
      </w:r>
      <w:r w:rsidR="00E34539" w:rsidRPr="00B80350">
        <w:rPr>
          <w:rFonts w:ascii="Book Antiqua" w:eastAsia="Times New Roman" w:hAnsi="Book Antiqua" w:cs="Times New Roman"/>
          <w:bCs/>
          <w:lang w:eastAsia="hu-HU"/>
        </w:rPr>
        <w:t xml:space="preserve"> rendelkezésünkre álltak a kivetéshez szükséges adatok.</w:t>
      </w:r>
    </w:p>
    <w:p w14:paraId="3E854992" w14:textId="77777777" w:rsidR="00024523" w:rsidRPr="00B80350" w:rsidRDefault="0002452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50B8BBA0" w14:textId="4DE991AB" w:rsidR="00FF5725" w:rsidRPr="00B80350" w:rsidRDefault="00ED45C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Tapasztalatunk alapján az elektronikus </w:t>
      </w:r>
      <w:r w:rsidR="00024523" w:rsidRPr="00B80350">
        <w:rPr>
          <w:rFonts w:ascii="Book Antiqua" w:eastAsia="Times New Roman" w:hAnsi="Book Antiqua" w:cs="Times New Roman"/>
          <w:bCs/>
          <w:lang w:eastAsia="hu-HU"/>
        </w:rPr>
        <w:t>kapcsolattartásra</w:t>
      </w:r>
      <w:r w:rsidRPr="00B80350">
        <w:rPr>
          <w:rFonts w:ascii="Book Antiqua" w:eastAsia="Times New Roman" w:hAnsi="Book Antiqua" w:cs="Times New Roman"/>
          <w:bCs/>
          <w:lang w:eastAsia="hu-HU"/>
        </w:rPr>
        <w:t xml:space="preserve"> kötelezett gazd</w:t>
      </w:r>
      <w:r w:rsidR="00024523" w:rsidRPr="00B80350">
        <w:rPr>
          <w:rFonts w:ascii="Book Antiqua" w:eastAsia="Times New Roman" w:hAnsi="Book Antiqua" w:cs="Times New Roman"/>
          <w:bCs/>
          <w:lang w:eastAsia="hu-HU"/>
        </w:rPr>
        <w:t xml:space="preserve">álkodó </w:t>
      </w:r>
      <w:r w:rsidRPr="00B80350">
        <w:rPr>
          <w:rFonts w:ascii="Book Antiqua" w:eastAsia="Times New Roman" w:hAnsi="Book Antiqua" w:cs="Times New Roman"/>
          <w:bCs/>
          <w:lang w:eastAsia="hu-HU"/>
        </w:rPr>
        <w:t>szervezete</w:t>
      </w:r>
      <w:r w:rsidR="00024523" w:rsidRPr="00B80350">
        <w:rPr>
          <w:rFonts w:ascii="Book Antiqua" w:eastAsia="Times New Roman" w:hAnsi="Book Antiqua" w:cs="Times New Roman"/>
          <w:bCs/>
          <w:lang w:eastAsia="hu-HU"/>
        </w:rPr>
        <w:t xml:space="preserve">k között még mindig sok olyan van, aki nincsen tisztában az elektronikus ügyintézés </w:t>
      </w:r>
      <w:r w:rsidR="00FE6D57" w:rsidRPr="00B80350">
        <w:rPr>
          <w:rFonts w:ascii="Book Antiqua" w:eastAsia="Times New Roman" w:hAnsi="Book Antiqua" w:cs="Times New Roman"/>
          <w:bCs/>
          <w:lang w:eastAsia="hu-HU"/>
        </w:rPr>
        <w:t>megfelelő formájával</w:t>
      </w:r>
      <w:r w:rsidR="00024523" w:rsidRPr="00B80350">
        <w:rPr>
          <w:rFonts w:ascii="Book Antiqua" w:eastAsia="Times New Roman" w:hAnsi="Book Antiqua" w:cs="Times New Roman"/>
          <w:bCs/>
          <w:lang w:eastAsia="hu-HU"/>
        </w:rPr>
        <w:t xml:space="preserve">. </w:t>
      </w:r>
      <w:r w:rsidR="00FE6D57" w:rsidRPr="00B80350">
        <w:rPr>
          <w:rFonts w:ascii="Book Antiqua" w:eastAsia="Times New Roman" w:hAnsi="Book Antiqua" w:cs="Times New Roman"/>
          <w:bCs/>
          <w:lang w:eastAsia="hu-HU"/>
        </w:rPr>
        <w:t xml:space="preserve">Számos esetben nyújtottak be érvénytelennek minősülő kérelmet, mivel </w:t>
      </w:r>
      <w:r w:rsidR="00024523" w:rsidRPr="00B80350">
        <w:rPr>
          <w:rFonts w:ascii="Book Antiqua" w:hAnsi="Book Antiqua"/>
        </w:rPr>
        <w:t>az e-</w:t>
      </w:r>
      <w:r w:rsidR="00024523" w:rsidRPr="00B80350">
        <w:rPr>
          <w:rFonts w:ascii="Book Antiqua" w:hAnsi="Book Antiqua"/>
        </w:rPr>
        <w:lastRenderedPageBreak/>
        <w:t>mail</w:t>
      </w:r>
      <w:r w:rsidR="009E76AE" w:rsidRPr="00B80350">
        <w:rPr>
          <w:rFonts w:ascii="Book Antiqua" w:hAnsi="Book Antiqua"/>
        </w:rPr>
        <w:t xml:space="preserve">en érkezett, </w:t>
      </w:r>
      <w:r w:rsidR="00024523" w:rsidRPr="00B80350">
        <w:rPr>
          <w:rFonts w:ascii="Book Antiqua" w:hAnsi="Book Antiqua"/>
        </w:rPr>
        <w:t>nem tekinthető beazonosításra alkalmas</w:t>
      </w:r>
      <w:r w:rsidR="00FE6D57" w:rsidRPr="00B80350">
        <w:rPr>
          <w:rFonts w:ascii="Book Antiqua" w:hAnsi="Book Antiqua"/>
        </w:rPr>
        <w:t>nak</w:t>
      </w:r>
      <w:r w:rsidR="00024523" w:rsidRPr="00B80350">
        <w:rPr>
          <w:rFonts w:ascii="Book Antiqua" w:hAnsi="Book Antiqua"/>
        </w:rPr>
        <w:t>, ezért érdemi ügyintézésre nem használható</w:t>
      </w:r>
      <w:r w:rsidR="00FE6D57" w:rsidRPr="00B80350">
        <w:rPr>
          <w:rFonts w:ascii="Book Antiqua" w:hAnsi="Book Antiqua"/>
        </w:rPr>
        <w:t xml:space="preserve">. Az ügyfelek tájékoztatása </w:t>
      </w:r>
      <w:r w:rsidR="009E76AE" w:rsidRPr="00B80350">
        <w:rPr>
          <w:rFonts w:ascii="Book Antiqua" w:hAnsi="Book Antiqua"/>
        </w:rPr>
        <w:t xml:space="preserve">adóhatóságunk részéről </w:t>
      </w:r>
      <w:r w:rsidR="00FE6D57" w:rsidRPr="00B80350">
        <w:rPr>
          <w:rFonts w:ascii="Book Antiqua" w:hAnsi="Book Antiqua"/>
        </w:rPr>
        <w:t>minden esetben megtörténik.</w:t>
      </w:r>
    </w:p>
    <w:p w14:paraId="45D43F12" w14:textId="77777777" w:rsidR="00ED45CA" w:rsidRPr="00B80350" w:rsidRDefault="00ED45C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</w:p>
    <w:p w14:paraId="26BEA833" w14:textId="2EFDB713" w:rsidR="001003DB" w:rsidRPr="00B80350" w:rsidRDefault="00570178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lang w:eastAsia="hu-HU"/>
        </w:rPr>
      </w:pPr>
      <w:r>
        <w:rPr>
          <w:rFonts w:ascii="Book Antiqua" w:eastAsia="Times New Roman" w:hAnsi="Book Antiqua" w:cs="Times New Roman"/>
          <w:lang w:eastAsia="hu-HU"/>
        </w:rPr>
        <w:t>Idén</w:t>
      </w:r>
      <w:r w:rsidR="009E76AE" w:rsidRPr="00B80350">
        <w:rPr>
          <w:rFonts w:ascii="Book Antiqua" w:eastAsia="Times New Roman" w:hAnsi="Book Antiqua" w:cs="Times New Roman"/>
          <w:lang w:eastAsia="hu-HU"/>
        </w:rPr>
        <w:t xml:space="preserve"> 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>összesen 9 db méltányossági kérelem érkezett</w:t>
      </w:r>
      <w:r w:rsidR="00724BA4" w:rsidRPr="00B80350">
        <w:rPr>
          <w:rFonts w:ascii="Book Antiqua" w:eastAsia="Times New Roman" w:hAnsi="Book Antiqua" w:cs="Times New Roman"/>
          <w:bCs/>
          <w:lang w:eastAsia="hu-HU"/>
        </w:rPr>
        <w:t>,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 xml:space="preserve"> mely</w:t>
      </w:r>
      <w:r w:rsidR="00724BA4" w:rsidRPr="00B80350">
        <w:rPr>
          <w:rFonts w:ascii="Book Antiqua" w:eastAsia="Times New Roman" w:hAnsi="Book Antiqua" w:cs="Times New Roman"/>
          <w:bCs/>
          <w:lang w:eastAsia="hu-HU"/>
        </w:rPr>
        <w:t>ből 3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 xml:space="preserve"> </w:t>
      </w:r>
      <w:r w:rsidR="00724BA4" w:rsidRPr="00B80350">
        <w:rPr>
          <w:rFonts w:ascii="Book Antiqua" w:eastAsia="Times New Roman" w:hAnsi="Book Antiqua" w:cs="Times New Roman"/>
          <w:bCs/>
          <w:lang w:eastAsia="hu-HU"/>
        </w:rPr>
        <w:t xml:space="preserve">db 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 xml:space="preserve">mérséklésre </w:t>
      </w:r>
      <w:r w:rsidR="00724BA4" w:rsidRPr="00B80350">
        <w:rPr>
          <w:rFonts w:ascii="Book Antiqua" w:eastAsia="Times New Roman" w:hAnsi="Book Antiqua" w:cs="Times New Roman"/>
          <w:bCs/>
          <w:lang w:eastAsia="hu-HU"/>
        </w:rPr>
        <w:t>illetve 6 db részletfizetésre irányult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 xml:space="preserve">. Ezek mindegyikének </w:t>
      </w:r>
      <w:r w:rsidR="00420DDF" w:rsidRPr="00B80350">
        <w:rPr>
          <w:rFonts w:ascii="Book Antiqua" w:eastAsia="Times New Roman" w:hAnsi="Book Antiqua" w:cs="Times New Roman"/>
          <w:bCs/>
          <w:lang w:eastAsia="hu-HU"/>
        </w:rPr>
        <w:t xml:space="preserve">részben vagy egészben </w:t>
      </w:r>
      <w:r w:rsidR="001003DB" w:rsidRPr="00B80350">
        <w:rPr>
          <w:rFonts w:ascii="Book Antiqua" w:eastAsia="Times New Roman" w:hAnsi="Book Antiqua" w:cs="Times New Roman"/>
          <w:bCs/>
          <w:lang w:eastAsia="hu-HU"/>
        </w:rPr>
        <w:t xml:space="preserve">helyt adtunk, egyet sem utasítottunk el. </w:t>
      </w:r>
    </w:p>
    <w:p w14:paraId="50F9A14A" w14:textId="77777777" w:rsidR="00BF5B29" w:rsidRPr="00B80350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5F79BC15" w14:textId="64DEA2DB" w:rsidR="008726FB" w:rsidRPr="00B80350" w:rsidRDefault="009E76AE" w:rsidP="009172D2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A szokásos évi kétszeri </w:t>
      </w:r>
      <w:r w:rsidR="008726FB" w:rsidRPr="00B80350">
        <w:rPr>
          <w:rFonts w:ascii="Book Antiqua" w:eastAsia="Times New Roman" w:hAnsi="Book Antiqua" w:cs="Times New Roman"/>
          <w:lang w:eastAsia="hu-HU"/>
        </w:rPr>
        <w:t xml:space="preserve">(február, augusztus) </w:t>
      </w:r>
      <w:r w:rsidRPr="00B80350">
        <w:rPr>
          <w:rFonts w:ascii="Book Antiqua" w:eastAsia="Times New Roman" w:hAnsi="Book Antiqua" w:cs="Times New Roman"/>
          <w:lang w:eastAsia="hu-HU"/>
        </w:rPr>
        <w:t xml:space="preserve">adószámla kivonat kiküldésén túl </w:t>
      </w:r>
      <w:r w:rsidR="008726FB" w:rsidRPr="00B80350">
        <w:rPr>
          <w:rFonts w:ascii="Book Antiqua" w:eastAsia="Times New Roman" w:hAnsi="Book Antiqua" w:cs="Times New Roman"/>
          <w:lang w:eastAsia="hu-HU"/>
        </w:rPr>
        <w:t xml:space="preserve">október/november hónapban is küldtünk fizetési felszólításokat a fennálló hátralékról. </w:t>
      </w:r>
    </w:p>
    <w:p w14:paraId="6D4DE80D" w14:textId="77777777" w:rsidR="008726FB" w:rsidRPr="00B80350" w:rsidRDefault="008726FB" w:rsidP="009172D2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45AA052A" w14:textId="20C25782" w:rsidR="006804CA" w:rsidRPr="00B80350" w:rsidRDefault="008726FB" w:rsidP="009172D2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Számos</w:t>
      </w:r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 adózó késedelmesen vagy </w:t>
      </w:r>
      <w:r w:rsidR="00ED45CA" w:rsidRPr="00B80350">
        <w:rPr>
          <w:rFonts w:ascii="Book Antiqua" w:eastAsia="Times New Roman" w:hAnsi="Book Antiqua" w:cs="Times New Roman"/>
          <w:lang w:eastAsia="hu-HU"/>
        </w:rPr>
        <w:t xml:space="preserve">csak </w:t>
      </w:r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többszöri felszólításra teljesítette a </w:t>
      </w:r>
      <w:r w:rsidR="00ED45CA" w:rsidRPr="00B80350">
        <w:rPr>
          <w:rFonts w:ascii="Book Antiqua" w:eastAsia="Times New Roman" w:hAnsi="Book Antiqua" w:cs="Times New Roman"/>
          <w:lang w:eastAsia="hu-HU"/>
        </w:rPr>
        <w:t>befizetési kötelezettségét</w:t>
      </w:r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, </w:t>
      </w:r>
      <w:r w:rsidR="00ED45CA" w:rsidRPr="00B80350">
        <w:rPr>
          <w:rFonts w:ascii="Book Antiqua" w:eastAsia="Times New Roman" w:hAnsi="Book Antiqua" w:cs="Times New Roman"/>
          <w:lang w:eastAsia="hu-HU"/>
        </w:rPr>
        <w:t>azonban végrehajtási eljárás</w:t>
      </w:r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 megindítására </w:t>
      </w:r>
      <w:proofErr w:type="gramStart"/>
      <w:r w:rsidR="0072637A" w:rsidRPr="00B80350">
        <w:rPr>
          <w:rFonts w:ascii="Book Antiqua" w:eastAsia="Times New Roman" w:hAnsi="Book Antiqua" w:cs="Times New Roman"/>
          <w:lang w:eastAsia="hu-HU"/>
        </w:rPr>
        <w:t>(jelzálogjog</w:t>
      </w:r>
      <w:proofErr w:type="gramEnd"/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 bejegyzés, inkasszó, munkabér letiltás)</w:t>
      </w:r>
      <w:r w:rsidR="00ED45CA" w:rsidRPr="00B80350">
        <w:rPr>
          <w:rFonts w:ascii="Book Antiqua" w:eastAsia="Times New Roman" w:hAnsi="Book Antiqua" w:cs="Times New Roman"/>
          <w:lang w:eastAsia="hu-HU"/>
        </w:rPr>
        <w:t xml:space="preserve"> csak néhány esetben került sor és főként csak olyan adózóknál, akik több évnyi adóhátralékot halmoztak fel.</w:t>
      </w:r>
      <w:r w:rsidR="006804CA" w:rsidRPr="00B80350">
        <w:rPr>
          <w:rFonts w:ascii="Book Antiqua" w:eastAsia="Times New Roman" w:hAnsi="Book Antiqua" w:cs="Times New Roman"/>
          <w:lang w:eastAsia="hu-HU"/>
        </w:rPr>
        <w:t xml:space="preserve"> </w:t>
      </w:r>
    </w:p>
    <w:p w14:paraId="1DF92FE2" w14:textId="77777777" w:rsidR="00ED45CA" w:rsidRPr="00B80350" w:rsidRDefault="00ED45C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u w:val="single"/>
          <w:lang w:eastAsia="hu-HU"/>
        </w:rPr>
      </w:pPr>
    </w:p>
    <w:p w14:paraId="6C560782" w14:textId="77777777" w:rsidR="0007417A" w:rsidRPr="00B80350" w:rsidRDefault="0007417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u w:val="single"/>
          <w:lang w:eastAsia="hu-HU"/>
        </w:rPr>
      </w:pPr>
    </w:p>
    <w:p w14:paraId="269CF4CD" w14:textId="77777777" w:rsidR="0005152C" w:rsidRPr="00B80350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u w:val="single"/>
          <w:lang w:eastAsia="hu-HU"/>
        </w:rPr>
        <w:t>8. Ivóvíz-szennyvíz érdekeltségi hozzájárulások</w:t>
      </w:r>
    </w:p>
    <w:p w14:paraId="6E683184" w14:textId="77777777" w:rsidR="0005152C" w:rsidRPr="00B80350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2E407503" w14:textId="103197B3" w:rsidR="0005152C" w:rsidRPr="00B80350" w:rsidRDefault="009B0EF5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 xml:space="preserve">Az idei évben </w:t>
      </w:r>
      <w:r w:rsidR="002D0BE8" w:rsidRPr="00B80350">
        <w:rPr>
          <w:rFonts w:ascii="Book Antiqua" w:eastAsia="Times New Roman" w:hAnsi="Book Antiqua" w:cs="Times New Roman"/>
          <w:lang w:eastAsia="hu-HU"/>
        </w:rPr>
        <w:t xml:space="preserve">kissé mérséklődött </w:t>
      </w:r>
      <w:r w:rsidRPr="00B80350">
        <w:rPr>
          <w:rFonts w:ascii="Book Antiqua" w:eastAsia="Times New Roman" w:hAnsi="Book Antiqua" w:cs="Times New Roman"/>
          <w:lang w:eastAsia="hu-HU"/>
        </w:rPr>
        <w:t>az</w:t>
      </w:r>
      <w:r w:rsidR="0005152C" w:rsidRPr="00B80350">
        <w:rPr>
          <w:rFonts w:ascii="Book Antiqua" w:eastAsia="Times New Roman" w:hAnsi="Book Antiqua" w:cs="Times New Roman"/>
          <w:lang w:eastAsia="hu-HU"/>
        </w:rPr>
        <w:t xml:space="preserve"> építkezések száma,</w:t>
      </w:r>
      <w:r w:rsidRPr="00B80350">
        <w:rPr>
          <w:rFonts w:ascii="Book Antiqua" w:eastAsia="Times New Roman" w:hAnsi="Book Antiqua" w:cs="Times New Roman"/>
          <w:lang w:eastAsia="hu-HU"/>
        </w:rPr>
        <w:t xml:space="preserve"> továbbá a bekötési moratórium</w:t>
      </w:r>
      <w:r w:rsidR="0005152C" w:rsidRPr="00B80350">
        <w:rPr>
          <w:rFonts w:ascii="Book Antiqua" w:eastAsia="Times New Roman" w:hAnsi="Book Antiqua" w:cs="Times New Roman"/>
          <w:lang w:eastAsia="hu-HU"/>
        </w:rPr>
        <w:t xml:space="preserve"> </w:t>
      </w:r>
      <w:r w:rsidRPr="00B80350">
        <w:rPr>
          <w:rFonts w:ascii="Book Antiqua" w:eastAsia="Times New Roman" w:hAnsi="Book Antiqua" w:cs="Times New Roman"/>
          <w:lang w:eastAsia="hu-HU"/>
        </w:rPr>
        <w:t xml:space="preserve">is hozzájárult, hogy az </w:t>
      </w:r>
      <w:r w:rsidR="0005152C" w:rsidRPr="00B80350">
        <w:rPr>
          <w:rFonts w:ascii="Book Antiqua" w:eastAsia="Times New Roman" w:hAnsi="Book Antiqua" w:cs="Times New Roman"/>
          <w:lang w:eastAsia="hu-HU"/>
        </w:rPr>
        <w:t xml:space="preserve">érdekeltségi hozzájárulások összegének beszedése </w:t>
      </w:r>
      <w:r w:rsidRPr="00B80350">
        <w:rPr>
          <w:rFonts w:ascii="Book Antiqua" w:eastAsia="Times New Roman" w:hAnsi="Book Antiqua" w:cs="Times New Roman"/>
          <w:lang w:eastAsia="hu-HU"/>
        </w:rPr>
        <w:t>nem volt olyan hatékony</w:t>
      </w:r>
      <w:r w:rsidR="002D0BE8" w:rsidRPr="00B80350">
        <w:rPr>
          <w:rFonts w:ascii="Book Antiqua" w:eastAsia="Times New Roman" w:hAnsi="Book Antiqua" w:cs="Times New Roman"/>
          <w:lang w:eastAsia="hu-HU"/>
        </w:rPr>
        <w:t>, mint az ezt megelőző években</w:t>
      </w:r>
      <w:r w:rsidR="0007417A" w:rsidRPr="00B80350">
        <w:rPr>
          <w:rFonts w:ascii="Book Antiqua" w:eastAsia="Times New Roman" w:hAnsi="Book Antiqua" w:cs="Times New Roman"/>
          <w:lang w:eastAsia="hu-HU"/>
        </w:rPr>
        <w:t>.</w:t>
      </w:r>
    </w:p>
    <w:p w14:paraId="4A0A8232" w14:textId="77777777" w:rsidR="0007417A" w:rsidRPr="00B80350" w:rsidRDefault="0007417A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79D5C8D5" w14:textId="77777777" w:rsidR="0005152C" w:rsidRPr="00B80350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9"/>
        <w:gridCol w:w="4493"/>
      </w:tblGrid>
      <w:tr w:rsidR="0005152C" w:rsidRPr="00B80350" w14:paraId="5CB93D1B" w14:textId="77777777" w:rsidTr="003372C3">
        <w:tc>
          <w:tcPr>
            <w:tcW w:w="4761" w:type="dxa"/>
            <w:hideMark/>
          </w:tcPr>
          <w:p w14:paraId="19867DEE" w14:textId="0F2474CD" w:rsidR="0005152C" w:rsidRPr="00B80350" w:rsidRDefault="0005152C" w:rsidP="0007417A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both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</w:t>
            </w:r>
            <w:r w:rsidR="004F47C0" w:rsidRPr="00B80350">
              <w:rPr>
                <w:rFonts w:ascii="Book Antiqua" w:eastAsia="Times New Roman" w:hAnsi="Book Antiqua" w:cs="Times New Roman"/>
                <w:lang w:eastAsia="hu-HU"/>
              </w:rPr>
              <w:t>2</w:t>
            </w:r>
            <w:r w:rsidR="00A76A9F" w:rsidRPr="00B80350">
              <w:rPr>
                <w:rFonts w:ascii="Book Antiqua" w:eastAsia="Times New Roman" w:hAnsi="Book Antiqua" w:cs="Times New Roman"/>
                <w:lang w:eastAsia="hu-HU"/>
              </w:rPr>
              <w:t>4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 xml:space="preserve">. </w:t>
            </w:r>
            <w:r w:rsidR="00A7460B" w:rsidRPr="00B80350">
              <w:rPr>
                <w:rFonts w:ascii="Book Antiqua" w:eastAsia="Times New Roman" w:hAnsi="Book Antiqua" w:cs="Times New Roman"/>
                <w:lang w:eastAsia="hu-HU"/>
              </w:rPr>
              <w:t>november 2</w:t>
            </w:r>
            <w:r w:rsidR="0007417A" w:rsidRPr="00B80350">
              <w:rPr>
                <w:rFonts w:ascii="Book Antiqua" w:eastAsia="Times New Roman" w:hAnsi="Book Antiqua" w:cs="Times New Roman"/>
                <w:lang w:eastAsia="hu-HU"/>
              </w:rPr>
              <w:t>6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napjáig történt meg, ez alapján e dátumig befolyt összeg:</w:t>
            </w:r>
          </w:p>
        </w:tc>
        <w:tc>
          <w:tcPr>
            <w:tcW w:w="4762" w:type="dxa"/>
          </w:tcPr>
          <w:p w14:paraId="5799D253" w14:textId="135596A5" w:rsidR="0005152C" w:rsidRPr="00B80350" w:rsidRDefault="0007417A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1.340.000</w:t>
            </w:r>
            <w:r w:rsidR="0005152C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.-</w:t>
            </w:r>
            <w:r w:rsidR="0005152C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Ft</w:t>
            </w:r>
          </w:p>
          <w:p w14:paraId="4326A334" w14:textId="2EA30AD6" w:rsidR="0005152C" w:rsidRPr="00B80350" w:rsidRDefault="00F6180C" w:rsidP="0005152C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bCs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(202</w:t>
            </w:r>
            <w:r w:rsidR="00A76A9F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4</w:t>
            </w:r>
            <w:r w:rsidR="0005152C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.</w:t>
            </w:r>
            <w:r w:rsidR="002D0BE8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</w:t>
            </w:r>
            <w:r w:rsidR="0005152C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évi előirányzat: </w:t>
            </w:r>
            <w:r w:rsidR="00A7460B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2.500.000</w:t>
            </w:r>
            <w:r w:rsidR="0005152C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Ft)</w:t>
            </w:r>
          </w:p>
          <w:p w14:paraId="3C4FCEB1" w14:textId="5580FC0D" w:rsidR="0005152C" w:rsidRPr="00B80350" w:rsidRDefault="0005152C" w:rsidP="00A76A9F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            </w:t>
            </w:r>
            <w:r w:rsidR="00D762E5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                          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Teljesítés:</w:t>
            </w:r>
            <w:r w:rsidR="00F6180C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 </w:t>
            </w:r>
            <w:r w:rsidR="0007417A"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>53,6</w:t>
            </w:r>
            <w:r w:rsidRPr="00B80350">
              <w:rPr>
                <w:rFonts w:ascii="Book Antiqua" w:eastAsia="Times New Roman" w:hAnsi="Book Antiqua" w:cs="Times New Roman"/>
                <w:b/>
                <w:bCs/>
                <w:lang w:eastAsia="hu-HU"/>
              </w:rPr>
              <w:t xml:space="preserve">%  </w:t>
            </w:r>
          </w:p>
        </w:tc>
      </w:tr>
    </w:tbl>
    <w:p w14:paraId="496A28B9" w14:textId="77777777" w:rsidR="0005152C" w:rsidRPr="00B80350" w:rsidRDefault="0005152C" w:rsidP="0005152C">
      <w:pPr>
        <w:tabs>
          <w:tab w:val="left" w:pos="2835"/>
          <w:tab w:val="left" w:pos="3402"/>
          <w:tab w:val="left" w:pos="5670"/>
          <w:tab w:val="left" w:pos="7371"/>
        </w:tabs>
        <w:spacing w:after="0" w:line="240" w:lineRule="auto"/>
        <w:ind w:left="-142"/>
        <w:jc w:val="both"/>
        <w:rPr>
          <w:rFonts w:ascii="Book Antiqua" w:eastAsia="Times New Roman" w:hAnsi="Book Antiqua" w:cs="Times New Roman"/>
          <w:lang w:eastAsia="hu-HU"/>
        </w:rPr>
      </w:pPr>
    </w:p>
    <w:p w14:paraId="5A7C8D29" w14:textId="77777777" w:rsidR="0005152C" w:rsidRPr="00B80350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77403B67" w14:textId="77777777" w:rsidR="009758A1" w:rsidRPr="00B80350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u w:val="single"/>
          <w:lang w:eastAsia="hu-HU"/>
        </w:rPr>
      </w:pPr>
      <w:r w:rsidRPr="00B80350">
        <w:rPr>
          <w:rFonts w:ascii="Book Antiqua" w:eastAsia="Times New Roman" w:hAnsi="Book Antiqua" w:cs="Times New Roman"/>
          <w:b/>
          <w:u w:val="single"/>
          <w:lang w:eastAsia="hu-HU"/>
        </w:rPr>
        <w:t>9. Késedelmi pótlék, bírság</w:t>
      </w:r>
    </w:p>
    <w:p w14:paraId="7633D2A1" w14:textId="77777777" w:rsidR="009758A1" w:rsidRPr="00B80350" w:rsidRDefault="009758A1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059FBFB0" w14:textId="76EDBFD4" w:rsidR="00FC75B0" w:rsidRPr="00B80350" w:rsidRDefault="00FB37A6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  <w:r w:rsidRPr="00B80350">
        <w:rPr>
          <w:rFonts w:ascii="Book Antiqua" w:eastAsia="Times New Roman" w:hAnsi="Book Antiqua" w:cs="Times New Roman"/>
          <w:lang w:eastAsia="hu-HU"/>
        </w:rPr>
        <w:t>Az idei évben a bírságok döntő részét az adó csoport szedte be (elmaradt bevallások, hiánypótlások szankciójaként), a többit pedig a településüzemeltetési, valamint a népességnyilvántartási-igazgatási előadó szabta ki és hajtotta be.</w:t>
      </w:r>
    </w:p>
    <w:p w14:paraId="19E51437" w14:textId="77777777" w:rsidR="00FB37A6" w:rsidRPr="00B80350" w:rsidRDefault="00FB37A6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tbl>
      <w:tblPr>
        <w:tblpPr w:leftFromText="141" w:rightFromText="141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5"/>
        <w:gridCol w:w="4487"/>
      </w:tblGrid>
      <w:tr w:rsidR="00FC75B0" w:rsidRPr="00B80350" w14:paraId="70E687C9" w14:textId="77777777" w:rsidTr="00FC75B0">
        <w:tc>
          <w:tcPr>
            <w:tcW w:w="4575" w:type="dxa"/>
            <w:hideMark/>
          </w:tcPr>
          <w:p w14:paraId="546811AA" w14:textId="09E5E962" w:rsidR="00FC75B0" w:rsidRPr="00B80350" w:rsidRDefault="00FC75B0" w:rsidP="00A76A9F">
            <w:pPr>
              <w:tabs>
                <w:tab w:val="left" w:pos="567"/>
                <w:tab w:val="left" w:pos="2835"/>
                <w:tab w:val="left" w:pos="3402"/>
                <w:tab w:val="left" w:pos="5670"/>
                <w:tab w:val="left" w:pos="7371"/>
              </w:tabs>
              <w:spacing w:after="0" w:line="240" w:lineRule="auto"/>
              <w:rPr>
                <w:rFonts w:ascii="Book Antiqua" w:eastAsia="Times New Roman" w:hAnsi="Book Antiqua" w:cs="Times New Roman"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lang w:eastAsia="hu-HU"/>
              </w:rPr>
              <w:t>A bankszámlakivonatok lekönyvelése 202</w:t>
            </w:r>
            <w:r w:rsidR="00A76A9F" w:rsidRPr="00B80350">
              <w:rPr>
                <w:rFonts w:ascii="Book Antiqua" w:eastAsia="Times New Roman" w:hAnsi="Book Antiqua" w:cs="Times New Roman"/>
                <w:lang w:eastAsia="hu-HU"/>
              </w:rPr>
              <w:t>4</w:t>
            </w:r>
            <w:r w:rsidR="00FB37A6" w:rsidRPr="00B80350">
              <w:rPr>
                <w:rFonts w:ascii="Book Antiqua" w:eastAsia="Times New Roman" w:hAnsi="Book Antiqua" w:cs="Times New Roman"/>
                <w:lang w:eastAsia="hu-HU"/>
              </w:rPr>
              <w:t>. november 26</w:t>
            </w:r>
            <w:r w:rsidRPr="00B80350">
              <w:rPr>
                <w:rFonts w:ascii="Book Antiqua" w:eastAsia="Times New Roman" w:hAnsi="Book Antiqua" w:cs="Times New Roman"/>
                <w:lang w:eastAsia="hu-HU"/>
              </w:rPr>
              <w:t>. napjáig történt meg, ez alapján e dátumig befolyt összeg:</w:t>
            </w:r>
          </w:p>
        </w:tc>
        <w:tc>
          <w:tcPr>
            <w:tcW w:w="4487" w:type="dxa"/>
            <w:hideMark/>
          </w:tcPr>
          <w:p w14:paraId="377A7BA7" w14:textId="53320947" w:rsidR="00FC75B0" w:rsidRPr="00B80350" w:rsidRDefault="00FB37A6" w:rsidP="000A203A">
            <w:pPr>
              <w:tabs>
                <w:tab w:val="left" w:pos="909"/>
                <w:tab w:val="left" w:pos="3036"/>
                <w:tab w:val="left" w:pos="4546"/>
                <w:tab w:val="left" w:pos="5670"/>
                <w:tab w:val="left" w:pos="7371"/>
              </w:tabs>
              <w:spacing w:after="0" w:line="240" w:lineRule="auto"/>
              <w:jc w:val="right"/>
              <w:rPr>
                <w:rFonts w:ascii="Book Antiqua" w:eastAsia="Times New Roman" w:hAnsi="Book Antiqua" w:cs="Times New Roman"/>
                <w:b/>
                <w:lang w:eastAsia="hu-HU"/>
              </w:rPr>
            </w:pP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3.062.6</w:t>
            </w:r>
            <w:r w:rsidR="000A203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00</w:t>
            </w:r>
            <w:r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.- Ft </w:t>
            </w:r>
            <w:r w:rsidR="00FC75B0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br/>
              <w:t>(202</w:t>
            </w:r>
            <w:r w:rsidR="00A76A9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4</w:t>
            </w:r>
            <w:r w:rsidR="00FC75B0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 xml:space="preserve">. évi előirányzat: </w:t>
            </w:r>
            <w:r w:rsidR="00A76A9F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5</w:t>
            </w:r>
            <w:r w:rsidR="00FC75B0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.000.000 Ft)</w:t>
            </w:r>
            <w:r w:rsidR="00FC75B0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br/>
              <w:t xml:space="preserve">Teljesítés: </w:t>
            </w:r>
            <w:r w:rsidR="000A203A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61,3</w:t>
            </w:r>
            <w:r w:rsidR="00FC75B0" w:rsidRPr="00B80350">
              <w:rPr>
                <w:rFonts w:ascii="Book Antiqua" w:eastAsia="Times New Roman" w:hAnsi="Book Antiqua" w:cs="Times New Roman"/>
                <w:b/>
                <w:lang w:eastAsia="hu-HU"/>
              </w:rPr>
              <w:t>%</w:t>
            </w:r>
          </w:p>
        </w:tc>
      </w:tr>
    </w:tbl>
    <w:p w14:paraId="5C897F2E" w14:textId="77777777" w:rsidR="00FC75B0" w:rsidRPr="00B8035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lang w:eastAsia="hu-HU"/>
        </w:rPr>
      </w:pPr>
    </w:p>
    <w:p w14:paraId="21E0E30D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67FDF1B2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0B10FE2C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5F39908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0D42807B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4B47A77B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16F0E763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32E9824E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4338ACCC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049EC5E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5EFDBF51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47A1794A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tbl>
      <w:tblPr>
        <w:tblW w:w="92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2423"/>
        <w:gridCol w:w="1513"/>
        <w:gridCol w:w="1513"/>
        <w:gridCol w:w="1715"/>
        <w:gridCol w:w="886"/>
        <w:gridCol w:w="887"/>
      </w:tblGrid>
      <w:tr w:rsidR="003F6C0B" w:rsidRPr="003F6C0B" w14:paraId="7217B65C" w14:textId="77777777" w:rsidTr="003F6C0B">
        <w:trPr>
          <w:trHeight w:val="563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A4C293D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lastRenderedPageBreak/>
              <w:t>Adónem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D6FD99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Előirányzat (Ft) eredeti/módosított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CBBAEA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Teljesítés (Ft) 2024.11.26-ig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CE5ECC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 xml:space="preserve"> Teljesítés %</w:t>
            </w:r>
          </w:p>
        </w:tc>
      </w:tr>
      <w:tr w:rsidR="003F6C0B" w:rsidRPr="003F6C0B" w14:paraId="66609E51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EA2D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7279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Építményadó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B79A7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35 000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D282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42 868 900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B313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122,5</w:t>
            </w:r>
          </w:p>
        </w:tc>
      </w:tr>
      <w:tr w:rsidR="003F6C0B" w:rsidRPr="003F6C0B" w14:paraId="323AD345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6F08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4512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Telekadó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CA21A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75 000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7BC4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94 522 900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CA26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126,0</w:t>
            </w:r>
          </w:p>
        </w:tc>
      </w:tr>
      <w:tr w:rsidR="003F6C0B" w:rsidRPr="003F6C0B" w14:paraId="2ADDF6DD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D224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5AEA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Talajterhelési díj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D8072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1 000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9385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728 300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23C5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72,8</w:t>
            </w:r>
          </w:p>
        </w:tc>
      </w:tr>
      <w:tr w:rsidR="003F6C0B" w:rsidRPr="003F6C0B" w14:paraId="5B81FDA8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3BE7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4.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DF90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Települési adó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F7E91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4 000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3FB2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4 129 900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39ED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103,2</w:t>
            </w:r>
          </w:p>
        </w:tc>
      </w:tr>
      <w:tr w:rsidR="003F6C0B" w:rsidRPr="003F6C0B" w14:paraId="5C808EFB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F797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5.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225D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Helyi iparűzési adó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20B3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150 000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67D8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390 000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83D7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432 773 300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95B0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288,5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5ED3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111,0</w:t>
            </w:r>
          </w:p>
        </w:tc>
      </w:tr>
      <w:tr w:rsidR="003F6C0B" w:rsidRPr="003F6C0B" w14:paraId="5D20CC56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1437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6.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646F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Idegenforgalmi adó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7EA16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2 000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4041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4 735 700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FDF8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236,8</w:t>
            </w:r>
          </w:p>
        </w:tc>
      </w:tr>
      <w:tr w:rsidR="003F6C0B" w:rsidRPr="003F6C0B" w14:paraId="6C74D865" w14:textId="77777777" w:rsidTr="003F6C0B">
        <w:trPr>
          <w:trHeight w:val="845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F6C1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7.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1916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Egyéb közhatalmi bevételek (ivóvíz, csatorna)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D4C11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2 500 000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F14F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1 340 000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21F6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53,6</w:t>
            </w:r>
          </w:p>
        </w:tc>
      </w:tr>
      <w:tr w:rsidR="003F6C0B" w:rsidRPr="003F6C0B" w14:paraId="40C09935" w14:textId="77777777" w:rsidTr="003F6C0B">
        <w:trPr>
          <w:trHeight w:val="309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889C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8.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B47F" w14:textId="77777777" w:rsidR="003F6C0B" w:rsidRPr="003F6C0B" w:rsidRDefault="003F6C0B" w:rsidP="003F6C0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Pótlék, bírság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782E39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 xml:space="preserve">5 000 </w:t>
            </w:r>
            <w:proofErr w:type="spellStart"/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227D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3 062 600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F0D3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color w:val="000000"/>
                <w:lang w:eastAsia="hu-HU"/>
              </w:rPr>
              <w:t>61,3</w:t>
            </w:r>
          </w:p>
        </w:tc>
      </w:tr>
      <w:tr w:rsidR="003F6C0B" w:rsidRPr="003F6C0B" w14:paraId="3A3F156E" w14:textId="77777777" w:rsidTr="003F6C0B">
        <w:trPr>
          <w:trHeight w:val="28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7C255D4" w14:textId="77777777" w:rsidR="003F6C0B" w:rsidRPr="003F6C0B" w:rsidRDefault="003F6C0B" w:rsidP="003F6C0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637C1C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239 500 000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D0CB2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514 500 000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FCF04A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584 161 600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9B28BE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243,9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76BD0A" w14:textId="77777777" w:rsidR="003F6C0B" w:rsidRPr="003F6C0B" w:rsidRDefault="003F6C0B" w:rsidP="003F6C0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</w:pPr>
            <w:r w:rsidRPr="003F6C0B">
              <w:rPr>
                <w:rFonts w:ascii="Book Antiqua" w:eastAsia="Times New Roman" w:hAnsi="Book Antiqua" w:cs="Calibri"/>
                <w:b/>
                <w:bCs/>
                <w:color w:val="000000"/>
                <w:lang w:eastAsia="hu-HU"/>
              </w:rPr>
              <w:t>113,5</w:t>
            </w:r>
          </w:p>
        </w:tc>
      </w:tr>
    </w:tbl>
    <w:p w14:paraId="4B732D4F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1C9E0366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6D4707F2" w14:textId="77777777" w:rsidR="00336174" w:rsidRDefault="00336174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74F50F68" w14:textId="4C21A996" w:rsidR="00FC75B0" w:rsidRDefault="00282283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  <w:r>
        <w:rPr>
          <w:noProof/>
          <w:lang w:eastAsia="hu-HU"/>
        </w:rPr>
        <w:drawing>
          <wp:inline distT="0" distB="0" distL="0" distR="0" wp14:anchorId="4273B702" wp14:editId="67845282">
            <wp:extent cx="5891917" cy="3188474"/>
            <wp:effectExtent l="0" t="0" r="13970" b="1206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5D0130" w14:textId="189AC0E0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23038ABF" w14:textId="77777777" w:rsidR="00FC75B0" w:rsidRDefault="00FC75B0" w:rsidP="009758A1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hu-HU"/>
        </w:rPr>
      </w:pPr>
    </w:p>
    <w:p w14:paraId="0F349874" w14:textId="77777777" w:rsidR="00BF5B29" w:rsidRDefault="00BF5B29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14:paraId="2B86C46A" w14:textId="1FA938F1" w:rsidR="00282283" w:rsidRDefault="00282283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/>
          <w:bCs/>
          <w:i/>
          <w:sz w:val="23"/>
          <w:szCs w:val="23"/>
          <w:u w:val="single"/>
          <w:lang w:eastAsia="hu-HU"/>
        </w:rPr>
      </w:pPr>
    </w:p>
    <w:p w14:paraId="4E578F61" w14:textId="77777777"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sz w:val="23"/>
          <w:szCs w:val="23"/>
          <w:lang w:eastAsia="hu-HU"/>
        </w:rPr>
        <w:t>Összeállította:</w:t>
      </w:r>
    </w:p>
    <w:p w14:paraId="1024672A" w14:textId="77777777" w:rsidR="0005152C" w:rsidRPr="0005152C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sz w:val="23"/>
          <w:szCs w:val="23"/>
          <w:lang w:eastAsia="hu-HU"/>
        </w:rPr>
      </w:pPr>
    </w:p>
    <w:p w14:paraId="5F967173" w14:textId="77777777"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05152C">
        <w:rPr>
          <w:rFonts w:ascii="Book Antiqua" w:eastAsia="Times New Roman" w:hAnsi="Book Antiqua" w:cs="Times New Roman"/>
          <w:b/>
          <w:bCs/>
          <w:sz w:val="23"/>
          <w:szCs w:val="23"/>
          <w:lang w:eastAsia="hu-HU"/>
        </w:rPr>
        <w:tab/>
      </w: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Zsolnainé Csernyi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Erzsébet         Varju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Miklósné               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Mitró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Bettina</w:t>
      </w:r>
    </w:p>
    <w:p w14:paraId="298B35A6" w14:textId="77777777" w:rsidR="0005152C" w:rsidRPr="00151982" w:rsidRDefault="0005152C" w:rsidP="0005152C">
      <w:pPr>
        <w:tabs>
          <w:tab w:val="left" w:pos="567"/>
          <w:tab w:val="left" w:pos="2835"/>
          <w:tab w:val="left" w:pos="3402"/>
          <w:tab w:val="left" w:pos="5670"/>
          <w:tab w:val="left" w:pos="7371"/>
        </w:tabs>
        <w:spacing w:after="0" w:line="240" w:lineRule="auto"/>
        <w:jc w:val="both"/>
        <w:rPr>
          <w:rFonts w:ascii="Book Antiqua" w:eastAsia="Times New Roman" w:hAnsi="Book Antiqua" w:cs="Times New Roman"/>
          <w:bCs/>
          <w:sz w:val="23"/>
          <w:szCs w:val="23"/>
          <w:lang w:eastAsia="hu-HU"/>
        </w:rPr>
      </w:pPr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               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adóigazgatási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.               </w:t>
      </w:r>
      <w:proofErr w:type="gram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pénzügyi</w:t>
      </w:r>
      <w:proofErr w:type="gram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 xml:space="preserve"> </w:t>
      </w:r>
      <w:proofErr w:type="spellStart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ea</w:t>
      </w:r>
      <w:proofErr w:type="spellEnd"/>
      <w:r w:rsidRPr="00151982">
        <w:rPr>
          <w:rFonts w:ascii="Book Antiqua" w:eastAsia="Times New Roman" w:hAnsi="Book Antiqua" w:cs="Times New Roman"/>
          <w:bCs/>
          <w:sz w:val="23"/>
          <w:szCs w:val="23"/>
          <w:lang w:eastAsia="hu-HU"/>
        </w:rPr>
        <w:t>.</w:t>
      </w:r>
    </w:p>
    <w:p w14:paraId="3D4385EC" w14:textId="77777777" w:rsidR="00FC75B0" w:rsidRDefault="00875DD8">
      <w:pPr>
        <w:rPr>
          <w:rFonts w:ascii="Book Antiqua" w:hAnsi="Book Antiqua"/>
          <w:sz w:val="23"/>
          <w:szCs w:val="23"/>
        </w:rPr>
      </w:pPr>
      <w:r w:rsidRPr="00027C4B">
        <w:rPr>
          <w:rFonts w:ascii="Book Antiqua" w:hAnsi="Book Antiqua"/>
          <w:sz w:val="21"/>
          <w:szCs w:val="21"/>
        </w:rPr>
        <w:br/>
      </w:r>
    </w:p>
    <w:p w14:paraId="132AFB64" w14:textId="0AA0896C" w:rsidR="00A94ED2" w:rsidRPr="00151982" w:rsidRDefault="00875DD8">
      <w:pPr>
        <w:rPr>
          <w:rFonts w:ascii="Book Antiqua" w:hAnsi="Book Antiqua"/>
          <w:sz w:val="23"/>
          <w:szCs w:val="23"/>
        </w:rPr>
      </w:pPr>
      <w:r w:rsidRPr="00151982">
        <w:rPr>
          <w:rFonts w:ascii="Book Antiqua" w:hAnsi="Book Antiqua"/>
          <w:sz w:val="23"/>
          <w:szCs w:val="23"/>
        </w:rPr>
        <w:t xml:space="preserve">Előterjesztéssé nyilvánítva: </w:t>
      </w:r>
      <w:r w:rsidR="000A1DCB">
        <w:rPr>
          <w:rFonts w:ascii="Book Antiqua" w:hAnsi="Book Antiqua"/>
          <w:sz w:val="23"/>
          <w:szCs w:val="23"/>
        </w:rPr>
        <w:t>2024. december 11.</w:t>
      </w:r>
      <w:bookmarkStart w:id="0" w:name="_GoBack"/>
      <w:bookmarkEnd w:id="0"/>
    </w:p>
    <w:sectPr w:rsidR="00A94ED2" w:rsidRPr="00151982" w:rsidSect="0007417A"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4E1B" w14:textId="77777777" w:rsidR="00A84B2F" w:rsidRDefault="00A84B2F" w:rsidP="00151982">
      <w:pPr>
        <w:spacing w:after="0" w:line="240" w:lineRule="auto"/>
      </w:pPr>
      <w:r>
        <w:separator/>
      </w:r>
    </w:p>
  </w:endnote>
  <w:endnote w:type="continuationSeparator" w:id="0">
    <w:p w14:paraId="528E1A99" w14:textId="77777777" w:rsidR="00A84B2F" w:rsidRDefault="00A84B2F" w:rsidP="0015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05987"/>
      <w:docPartObj>
        <w:docPartGallery w:val="Page Numbers (Bottom of Page)"/>
        <w:docPartUnique/>
      </w:docPartObj>
    </w:sdtPr>
    <w:sdtEndPr/>
    <w:sdtContent>
      <w:p w14:paraId="061E1F29" w14:textId="77777777" w:rsidR="00151982" w:rsidRDefault="001519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DCB">
          <w:rPr>
            <w:noProof/>
          </w:rPr>
          <w:t>4</w:t>
        </w:r>
        <w:r>
          <w:fldChar w:fldCharType="end"/>
        </w:r>
      </w:p>
    </w:sdtContent>
  </w:sdt>
  <w:p w14:paraId="4C9E2928" w14:textId="77777777" w:rsidR="00151982" w:rsidRDefault="0015198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23E95" w14:textId="77777777" w:rsidR="00A84B2F" w:rsidRDefault="00A84B2F" w:rsidP="00151982">
      <w:pPr>
        <w:spacing w:after="0" w:line="240" w:lineRule="auto"/>
      </w:pPr>
      <w:r>
        <w:separator/>
      </w:r>
    </w:p>
  </w:footnote>
  <w:footnote w:type="continuationSeparator" w:id="0">
    <w:p w14:paraId="7DBF8C89" w14:textId="77777777" w:rsidR="00A84B2F" w:rsidRDefault="00A84B2F" w:rsidP="0015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0BAC"/>
    <w:multiLevelType w:val="hybridMultilevel"/>
    <w:tmpl w:val="F0382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E1D71"/>
    <w:multiLevelType w:val="hybridMultilevel"/>
    <w:tmpl w:val="6DACB98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5475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39C736C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64FA1"/>
    <w:multiLevelType w:val="hybridMultilevel"/>
    <w:tmpl w:val="AB48829A"/>
    <w:lvl w:ilvl="0" w:tplc="EA4868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0006F1"/>
    <w:rsid w:val="00021FD3"/>
    <w:rsid w:val="0002353C"/>
    <w:rsid w:val="00024523"/>
    <w:rsid w:val="00027C4B"/>
    <w:rsid w:val="0005152C"/>
    <w:rsid w:val="0007417A"/>
    <w:rsid w:val="000A1DCB"/>
    <w:rsid w:val="000A203A"/>
    <w:rsid w:val="000D39D4"/>
    <w:rsid w:val="001003DB"/>
    <w:rsid w:val="001164D0"/>
    <w:rsid w:val="001363B8"/>
    <w:rsid w:val="00151982"/>
    <w:rsid w:val="001A31AB"/>
    <w:rsid w:val="001B3C5D"/>
    <w:rsid w:val="001C636D"/>
    <w:rsid w:val="001E1A73"/>
    <w:rsid w:val="002031C9"/>
    <w:rsid w:val="00226040"/>
    <w:rsid w:val="00282283"/>
    <w:rsid w:val="002A174D"/>
    <w:rsid w:val="002B2E77"/>
    <w:rsid w:val="002C2B17"/>
    <w:rsid w:val="002D0BE8"/>
    <w:rsid w:val="00314F5F"/>
    <w:rsid w:val="0032412D"/>
    <w:rsid w:val="00336174"/>
    <w:rsid w:val="003372C3"/>
    <w:rsid w:val="003757F4"/>
    <w:rsid w:val="00382B39"/>
    <w:rsid w:val="003A7D3C"/>
    <w:rsid w:val="003F6C0B"/>
    <w:rsid w:val="00402B76"/>
    <w:rsid w:val="0040773F"/>
    <w:rsid w:val="00420DDF"/>
    <w:rsid w:val="004F47C0"/>
    <w:rsid w:val="00525E48"/>
    <w:rsid w:val="00570178"/>
    <w:rsid w:val="005B0381"/>
    <w:rsid w:val="00610749"/>
    <w:rsid w:val="00612361"/>
    <w:rsid w:val="00620CDD"/>
    <w:rsid w:val="006804CA"/>
    <w:rsid w:val="006847EF"/>
    <w:rsid w:val="006A689B"/>
    <w:rsid w:val="006D297F"/>
    <w:rsid w:val="006D3431"/>
    <w:rsid w:val="00724BA4"/>
    <w:rsid w:val="0072637A"/>
    <w:rsid w:val="007520B7"/>
    <w:rsid w:val="007B62FA"/>
    <w:rsid w:val="007C275D"/>
    <w:rsid w:val="0085360B"/>
    <w:rsid w:val="00860669"/>
    <w:rsid w:val="008726FB"/>
    <w:rsid w:val="00875DD8"/>
    <w:rsid w:val="00876CB4"/>
    <w:rsid w:val="00887FE2"/>
    <w:rsid w:val="00893E7B"/>
    <w:rsid w:val="00893FC2"/>
    <w:rsid w:val="008B3A17"/>
    <w:rsid w:val="008C7220"/>
    <w:rsid w:val="008F0387"/>
    <w:rsid w:val="009172D2"/>
    <w:rsid w:val="009569BC"/>
    <w:rsid w:val="009655F6"/>
    <w:rsid w:val="009758A1"/>
    <w:rsid w:val="009B0EF5"/>
    <w:rsid w:val="009B5693"/>
    <w:rsid w:val="009E76AE"/>
    <w:rsid w:val="00A1070B"/>
    <w:rsid w:val="00A12315"/>
    <w:rsid w:val="00A40990"/>
    <w:rsid w:val="00A66585"/>
    <w:rsid w:val="00A7460B"/>
    <w:rsid w:val="00A76A9F"/>
    <w:rsid w:val="00A84B2F"/>
    <w:rsid w:val="00A91058"/>
    <w:rsid w:val="00A94ED2"/>
    <w:rsid w:val="00AB762F"/>
    <w:rsid w:val="00B0574B"/>
    <w:rsid w:val="00B42F44"/>
    <w:rsid w:val="00B613C7"/>
    <w:rsid w:val="00B778F5"/>
    <w:rsid w:val="00B80350"/>
    <w:rsid w:val="00B8717F"/>
    <w:rsid w:val="00BF290D"/>
    <w:rsid w:val="00BF5B29"/>
    <w:rsid w:val="00C16C3E"/>
    <w:rsid w:val="00C304BC"/>
    <w:rsid w:val="00C32D56"/>
    <w:rsid w:val="00C4749C"/>
    <w:rsid w:val="00C5112A"/>
    <w:rsid w:val="00C558FD"/>
    <w:rsid w:val="00CA0607"/>
    <w:rsid w:val="00CA0725"/>
    <w:rsid w:val="00CA4A7A"/>
    <w:rsid w:val="00CC28F2"/>
    <w:rsid w:val="00D64708"/>
    <w:rsid w:val="00D762E5"/>
    <w:rsid w:val="00D8697A"/>
    <w:rsid w:val="00D93D2E"/>
    <w:rsid w:val="00DD5EB5"/>
    <w:rsid w:val="00DE6BD6"/>
    <w:rsid w:val="00DF6F3A"/>
    <w:rsid w:val="00E249F0"/>
    <w:rsid w:val="00E34539"/>
    <w:rsid w:val="00E72D21"/>
    <w:rsid w:val="00EA1D46"/>
    <w:rsid w:val="00EC37B2"/>
    <w:rsid w:val="00ED0ACC"/>
    <w:rsid w:val="00ED45CA"/>
    <w:rsid w:val="00EF2862"/>
    <w:rsid w:val="00F034D2"/>
    <w:rsid w:val="00F0616A"/>
    <w:rsid w:val="00F3036D"/>
    <w:rsid w:val="00F4081F"/>
    <w:rsid w:val="00F60CF5"/>
    <w:rsid w:val="00F6180C"/>
    <w:rsid w:val="00F866A7"/>
    <w:rsid w:val="00F92405"/>
    <w:rsid w:val="00FB37A6"/>
    <w:rsid w:val="00FB4232"/>
    <w:rsid w:val="00FC3C56"/>
    <w:rsid w:val="00FC75B0"/>
    <w:rsid w:val="00FD0EE3"/>
    <w:rsid w:val="00FE13D2"/>
    <w:rsid w:val="00FE6D57"/>
    <w:rsid w:val="00FF5725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CDDB"/>
  <w15:chartTrackingRefBased/>
  <w15:docId w15:val="{01D68853-DC1E-4862-9B85-32D92080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006F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">
    <w:name w:val="1"/>
    <w:qFormat/>
    <w:rsid w:val="00893FC2"/>
  </w:style>
  <w:style w:type="character" w:styleId="Kiemels2">
    <w:name w:val="Strong"/>
    <w:basedOn w:val="Bekezdsalapbettpusa"/>
    <w:uiPriority w:val="22"/>
    <w:qFormat/>
    <w:rsid w:val="00893FC2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1982"/>
  </w:style>
  <w:style w:type="paragraph" w:styleId="llb">
    <w:name w:val="footer"/>
    <w:basedOn w:val="Norml"/>
    <w:link w:val="llbChar"/>
    <w:uiPriority w:val="99"/>
    <w:unhideWhenUsed/>
    <w:rsid w:val="0015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51982"/>
  </w:style>
  <w:style w:type="paragraph" w:styleId="NormlWeb">
    <w:name w:val="Normal (Web)"/>
    <w:basedOn w:val="Norml"/>
    <w:uiPriority w:val="99"/>
    <w:semiHidden/>
    <w:unhideWhenUsed/>
    <w:rsid w:val="00A74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2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mitro.DELEGYONKORI\AppData\Roaming\Microsoft\Excel\K&#246;lts&#233;gvet&#233;s%20teljes&#237;t&#233;s%202024%20(version%201).xlsb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r>
              <a:rPr lang="hu-HU" sz="1300"/>
              <a:t>Adóbevételek</a:t>
            </a:r>
            <a:r>
              <a:rPr lang="hu-HU" sz="1300" baseline="0"/>
              <a:t> 2024</a:t>
            </a:r>
            <a:endParaRPr lang="hu-HU" sz="1300"/>
          </a:p>
        </c:rich>
      </c:tx>
      <c:layout>
        <c:manualLayout>
          <c:xMode val="edge"/>
          <c:yMode val="edge"/>
          <c:x val="0.3755804151942774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Book Antiqua" panose="02040602050305030304" pitchFamily="18" charset="0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Eredeti előirányzat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Munka1!$B$3:$B$10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 (ivóvíz, csatorna)</c:v>
                </c:pt>
                <c:pt idx="7">
                  <c:v>Pótlék, bírság</c:v>
                </c:pt>
              </c:strCache>
            </c:strRef>
          </c:cat>
          <c:val>
            <c:numRef>
              <c:f>Munka1!$C$3:$C$10</c:f>
              <c:numCache>
                <c:formatCode>#,##0</c:formatCode>
                <c:ptCount val="8"/>
                <c:pt idx="0">
                  <c:v>35000000</c:v>
                </c:pt>
                <c:pt idx="1">
                  <c:v>75000000</c:v>
                </c:pt>
                <c:pt idx="2">
                  <c:v>1000000</c:v>
                </c:pt>
                <c:pt idx="3">
                  <c:v>4000000</c:v>
                </c:pt>
                <c:pt idx="4">
                  <c:v>150000000</c:v>
                </c:pt>
                <c:pt idx="5">
                  <c:v>2000000</c:v>
                </c:pt>
                <c:pt idx="6">
                  <c:v>2500000</c:v>
                </c:pt>
                <c:pt idx="7">
                  <c:v>5000000</c:v>
                </c:pt>
              </c:numCache>
            </c:numRef>
          </c:val>
        </c:ser>
        <c:ser>
          <c:idx val="1"/>
          <c:order val="1"/>
          <c:tx>
            <c:v>Módosított előirányzat</c:v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Munka1!$B$3:$B$10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 (ivóvíz, csatorna)</c:v>
                </c:pt>
                <c:pt idx="7">
                  <c:v>Pótlék, bírság</c:v>
                </c:pt>
              </c:strCache>
            </c:strRef>
          </c:cat>
          <c:val>
            <c:numRef>
              <c:f>Munka1!$D$3:$D$10</c:f>
              <c:numCache>
                <c:formatCode>General</c:formatCode>
                <c:ptCount val="8"/>
                <c:pt idx="4" formatCode="#,##0">
                  <c:v>390000000</c:v>
                </c:pt>
              </c:numCache>
            </c:numRef>
          </c:val>
        </c:ser>
        <c:ser>
          <c:idx val="2"/>
          <c:order val="2"/>
          <c:tx>
            <c:v>Teljesítés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Munka1!$B$3:$B$10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 (ivóvíz, csatorna)</c:v>
                </c:pt>
                <c:pt idx="7">
                  <c:v>Pótlék, bírság</c:v>
                </c:pt>
              </c:strCache>
            </c:strRef>
          </c:cat>
          <c:val>
            <c:numRef>
              <c:f>Munka1!$E$3:$E$10</c:f>
              <c:numCache>
                <c:formatCode>#,##0</c:formatCode>
                <c:ptCount val="8"/>
                <c:pt idx="0">
                  <c:v>42868900</c:v>
                </c:pt>
                <c:pt idx="1">
                  <c:v>94522900</c:v>
                </c:pt>
                <c:pt idx="2">
                  <c:v>728300</c:v>
                </c:pt>
                <c:pt idx="3">
                  <c:v>4129900</c:v>
                </c:pt>
                <c:pt idx="4">
                  <c:v>432773300</c:v>
                </c:pt>
                <c:pt idx="5">
                  <c:v>4735700</c:v>
                </c:pt>
                <c:pt idx="6">
                  <c:v>1340000</c:v>
                </c:pt>
                <c:pt idx="7">
                  <c:v>3062600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7277880"/>
        <c:axId val="297281800"/>
      </c:barChart>
      <c:lineChart>
        <c:grouping val="standard"/>
        <c:varyColors val="0"/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Munka1!$B$3:$B$10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 (ivóvíz, csatorna)</c:v>
                </c:pt>
                <c:pt idx="7">
                  <c:v>Pótlék, bírság</c:v>
                </c:pt>
              </c:strCache>
            </c:strRef>
          </c:cat>
          <c:val>
            <c:numRef>
              <c:f>Munka1!$F$3:$F$10</c:f>
              <c:numCache>
                <c:formatCode>0.0</c:formatCode>
                <c:ptCount val="8"/>
                <c:pt idx="0">
                  <c:v>122.48257142857142</c:v>
                </c:pt>
                <c:pt idx="1">
                  <c:v>126.03053333333334</c:v>
                </c:pt>
                <c:pt idx="2">
                  <c:v>72.83</c:v>
                </c:pt>
                <c:pt idx="3">
                  <c:v>103.2475</c:v>
                </c:pt>
                <c:pt idx="4">
                  <c:v>288.51553333333334</c:v>
                </c:pt>
                <c:pt idx="5">
                  <c:v>236.78499999999997</c:v>
                </c:pt>
                <c:pt idx="6">
                  <c:v>53.6</c:v>
                </c:pt>
                <c:pt idx="7">
                  <c:v>61.251999999999995</c:v>
                </c:pt>
              </c:numCache>
            </c:numRef>
          </c:val>
          <c:smooth val="0"/>
        </c:ser>
        <c:ser>
          <c:idx val="4"/>
          <c:order val="4"/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Munka1!$B$3:$B$10</c:f>
              <c:strCache>
                <c:ptCount val="8"/>
                <c:pt idx="0">
                  <c:v>Építményadó</c:v>
                </c:pt>
                <c:pt idx="1">
                  <c:v>Telekadó</c:v>
                </c:pt>
                <c:pt idx="2">
                  <c:v>Talajterhelési díj</c:v>
                </c:pt>
                <c:pt idx="3">
                  <c:v>Települési adó</c:v>
                </c:pt>
                <c:pt idx="4">
                  <c:v>Helyi iparűzési adó</c:v>
                </c:pt>
                <c:pt idx="5">
                  <c:v>Idegenforgalmi adó</c:v>
                </c:pt>
                <c:pt idx="6">
                  <c:v>Egyéb közhatalmi bevételek (ivóvíz, csatorna)</c:v>
                </c:pt>
                <c:pt idx="7">
                  <c:v>Pótlék, bírság</c:v>
                </c:pt>
              </c:strCache>
            </c:strRef>
          </c:cat>
          <c:val>
            <c:numRef>
              <c:f>Munka1!$G$3:$G$10</c:f>
              <c:numCache>
                <c:formatCode>General</c:formatCode>
                <c:ptCount val="8"/>
                <c:pt idx="4" formatCode="#\ ##0.0">
                  <c:v>110.96751282051282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7280232"/>
        <c:axId val="297278664"/>
      </c:lineChart>
      <c:catAx>
        <c:axId val="297277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97281800"/>
        <c:crosses val="autoZero"/>
        <c:auto val="1"/>
        <c:lblAlgn val="ctr"/>
        <c:lblOffset val="100"/>
        <c:noMultiLvlLbl val="0"/>
      </c:catAx>
      <c:valAx>
        <c:axId val="297281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97277880"/>
        <c:crosses val="autoZero"/>
        <c:crossBetween val="between"/>
      </c:valAx>
      <c:valAx>
        <c:axId val="297278664"/>
        <c:scaling>
          <c:orientation val="minMax"/>
        </c:scaling>
        <c:delete val="0"/>
        <c:axPos val="r"/>
        <c:numFmt formatCode="#,##0.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Book Antiqua" panose="02040602050305030304" pitchFamily="18" charset="0"/>
                <a:ea typeface="+mn-ea"/>
                <a:cs typeface="+mn-cs"/>
              </a:defRPr>
            </a:pPr>
            <a:endParaRPr lang="hu-HU"/>
          </a:p>
        </c:txPr>
        <c:crossAx val="297280232"/>
        <c:crosses val="max"/>
        <c:crossBetween val="between"/>
      </c:valAx>
      <c:catAx>
        <c:axId val="2972802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9727866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t"/>
      <c:legendEntry>
        <c:idx val="3"/>
        <c:delete val="1"/>
      </c:legendEntry>
      <c:legendEntry>
        <c:idx val="4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Book Antiqua" panose="02040602050305030304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Book Antiqua" panose="02040602050305030304" pitchFamily="18" charset="0"/>
        </a:defRPr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E0A6-F9F7-457E-A551-61F3D275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1242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Molnár Zsuzsanna</cp:lastModifiedBy>
  <cp:revision>5</cp:revision>
  <cp:lastPrinted>2024-12-02T09:56:00Z</cp:lastPrinted>
  <dcterms:created xsi:type="dcterms:W3CDTF">2024-12-02T08:28:00Z</dcterms:created>
  <dcterms:modified xsi:type="dcterms:W3CDTF">2024-12-11T13:04:00Z</dcterms:modified>
</cp:coreProperties>
</file>